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50D1A" w14:textId="77777777" w:rsidR="009A35ED" w:rsidRDefault="00000000">
      <w:pPr>
        <w:pStyle w:val="Naslov1"/>
        <w:numPr>
          <w:ilvl w:val="0"/>
          <w:numId w:val="0"/>
        </w:numPr>
      </w:pPr>
      <w:bookmarkStart w:id="0" w:name="_Toc42488069"/>
      <w:r>
        <w:t>A.</w:t>
      </w:r>
      <w:r>
        <w:tab/>
        <w:t>INSTRUCTIONS TO TENDERERS</w:t>
      </w:r>
      <w:bookmarkEnd w:id="0"/>
    </w:p>
    <w:p w14:paraId="6034507F" w14:textId="77777777" w:rsidR="009A35ED" w:rsidRDefault="00000000">
      <w:pPr>
        <w:spacing w:after="240"/>
        <w:jc w:val="center"/>
        <w:rPr>
          <w:b/>
          <w:bCs/>
          <w:szCs w:val="24"/>
        </w:rPr>
      </w:pPr>
      <w:r>
        <w:rPr>
          <w:b/>
          <w:bCs/>
          <w:szCs w:val="24"/>
        </w:rPr>
        <w:t>Procurement of sophisticated medical equipment - stereotactic linear accelerator – LINAC</w:t>
      </w:r>
    </w:p>
    <w:p w14:paraId="5200FEDD" w14:textId="1DFA3334" w:rsidR="009A35ED" w:rsidRDefault="00000000">
      <w:pPr>
        <w:spacing w:after="240"/>
        <w:jc w:val="center"/>
        <w:rPr>
          <w:rStyle w:val="Naglaeno"/>
          <w:szCs w:val="24"/>
        </w:rPr>
      </w:pPr>
      <w:r w:rsidRPr="00AD2A25">
        <w:rPr>
          <w:rStyle w:val="Naglaeno"/>
          <w:szCs w:val="24"/>
        </w:rPr>
        <w:t>Ref. number</w:t>
      </w:r>
      <w:r w:rsidR="000D0DE0" w:rsidRPr="00AD2A25">
        <w:rPr>
          <w:rStyle w:val="Naglaeno"/>
          <w:szCs w:val="24"/>
        </w:rPr>
        <w:t>: 01-11-10013/25</w:t>
      </w:r>
    </w:p>
    <w:p w14:paraId="0B3E3F40" w14:textId="77777777" w:rsidR="009A35ED" w:rsidRDefault="00000000">
      <w:pPr>
        <w:pStyle w:val="Podnaslov"/>
        <w:spacing w:before="0" w:after="240"/>
        <w:jc w:val="both"/>
        <w:rPr>
          <w:rFonts w:ascii="Times New Roman" w:hAnsi="Times New Roman"/>
          <w:sz w:val="22"/>
          <w:lang w:val="en-GB"/>
        </w:rPr>
      </w:pPr>
      <w:r>
        <w:rPr>
          <w:rFonts w:ascii="Times New Roman" w:hAnsi="Times New Roman"/>
          <w:sz w:val="22"/>
          <w:lang w:val="en-GB"/>
        </w:rPr>
        <w:t>By submitting a tender, tenderers fully and unreservedly accept the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14:paraId="6E0D415B" w14:textId="77777777" w:rsidR="009A35ED" w:rsidRDefault="00000000">
      <w:pPr>
        <w:pStyle w:val="Podnaslov"/>
        <w:spacing w:before="0" w:after="0"/>
        <w:jc w:val="both"/>
        <w:rPr>
          <w:rFonts w:ascii="Times New Roman" w:hAnsi="Times New Roman"/>
          <w:sz w:val="22"/>
          <w:szCs w:val="22"/>
          <w:lang w:val="en-GB"/>
        </w:rPr>
      </w:pPr>
      <w:r>
        <w:rPr>
          <w:rFonts w:ascii="Times New Roman" w:hAnsi="Times New Roman"/>
          <w:sz w:val="22"/>
          <w:szCs w:val="22"/>
          <w:lang w:val="en-GB"/>
        </w:rPr>
        <w:t>These Instructions set out the rules for the submission, selection and implementation of contracts financed under this call for tenders, in conformity with the Practical Guide, which is applicable to this call (available on the Internet at:</w:t>
      </w:r>
      <w:r>
        <w:t xml:space="preserve"> </w:t>
      </w:r>
      <w:hyperlink r:id="rId8">
        <w:r w:rsidR="009A35ED">
          <w:rPr>
            <w:rStyle w:val="Hiperveza"/>
            <w:rFonts w:ascii="Times New Roman" w:hAnsi="Times New Roman"/>
            <w:sz w:val="22"/>
            <w:szCs w:val="22"/>
            <w:lang w:val="en-GB"/>
          </w:rPr>
          <w:t>https://wikis.ec.europa.eu/display/ExactExternalWiki/ePRAG</w:t>
        </w:r>
      </w:hyperlink>
      <w:r>
        <w:rPr>
          <w:rFonts w:ascii="Times New Roman" w:hAnsi="Times New Roman"/>
          <w:sz w:val="22"/>
          <w:szCs w:val="22"/>
          <w:lang w:val="en-GB"/>
        </w:rPr>
        <w:t xml:space="preserve"> ).</w:t>
      </w:r>
    </w:p>
    <w:p w14:paraId="0D91285D" w14:textId="77777777" w:rsidR="009A35ED" w:rsidRDefault="00000000">
      <w:pPr>
        <w:pStyle w:val="Naslov1"/>
        <w:numPr>
          <w:ilvl w:val="0"/>
          <w:numId w:val="2"/>
        </w:numPr>
      </w:pPr>
      <w:bookmarkStart w:id="1" w:name="_Toc42488070"/>
      <w:r>
        <w:t>Supplies to be provided</w:t>
      </w:r>
      <w:bookmarkEnd w:id="1"/>
    </w:p>
    <w:p w14:paraId="14C62545"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1.1</w:t>
      </w:r>
      <w:r>
        <w:rPr>
          <w:rFonts w:ascii="Times New Roman" w:hAnsi="Times New Roman"/>
          <w:sz w:val="22"/>
          <w:lang w:val="en-GB"/>
        </w:rPr>
        <w:tab/>
      </w:r>
      <w:bookmarkStart w:id="2" w:name="_Hlk213066094"/>
      <w:r>
        <w:rPr>
          <w:rFonts w:ascii="Times New Roman" w:hAnsi="Times New Roman"/>
          <w:sz w:val="22"/>
          <w:lang w:val="en-GB"/>
        </w:rPr>
        <w:t>The subject of the contract is the supply, delivery, unloading, installation, commissioning, calibrations, testing, warranty services and training by the Contractor of the following goods</w:t>
      </w:r>
      <w:bookmarkEnd w:id="2"/>
      <w:r>
        <w:rPr>
          <w:rFonts w:ascii="Times New Roman" w:hAnsi="Times New Roman"/>
          <w:sz w:val="22"/>
          <w:lang w:val="en-GB"/>
        </w:rPr>
        <w:t>:</w:t>
      </w:r>
    </w:p>
    <w:p w14:paraId="1090855C" w14:textId="77777777" w:rsidR="009A35ED" w:rsidRDefault="009A35ED">
      <w:pPr>
        <w:ind w:left="567"/>
        <w:jc w:val="both"/>
        <w:rPr>
          <w:rFonts w:ascii="Times New Roman" w:hAnsi="Times New Roman"/>
          <w:sz w:val="22"/>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6555"/>
        <w:gridCol w:w="1605"/>
      </w:tblGrid>
      <w:tr w:rsidR="00630172" w:rsidRPr="00630172" w14:paraId="261B0C1C" w14:textId="77777777" w:rsidTr="007E0A07">
        <w:trPr>
          <w:trHeight w:val="440"/>
        </w:trPr>
        <w:tc>
          <w:tcPr>
            <w:tcW w:w="7395" w:type="dxa"/>
            <w:gridSpan w:val="2"/>
            <w:shd w:val="clear" w:color="auto" w:fill="auto"/>
            <w:tcMar>
              <w:top w:w="100" w:type="dxa"/>
              <w:left w:w="100" w:type="dxa"/>
              <w:bottom w:w="100" w:type="dxa"/>
              <w:right w:w="100" w:type="dxa"/>
            </w:tcMar>
          </w:tcPr>
          <w:p w14:paraId="14EF25BC" w14:textId="77777777" w:rsidR="00630172" w:rsidRPr="00630172" w:rsidRDefault="00630172" w:rsidP="00630172">
            <w:pPr>
              <w:widowControl w:val="0"/>
              <w:pBdr>
                <w:top w:val="nil"/>
                <w:left w:val="nil"/>
                <w:bottom w:val="nil"/>
                <w:right w:val="nil"/>
                <w:between w:val="nil"/>
              </w:pBdr>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Item</w:t>
            </w:r>
          </w:p>
        </w:tc>
        <w:tc>
          <w:tcPr>
            <w:tcW w:w="1605" w:type="dxa"/>
            <w:shd w:val="clear" w:color="auto" w:fill="auto"/>
            <w:tcMar>
              <w:top w:w="100" w:type="dxa"/>
              <w:left w:w="100" w:type="dxa"/>
              <w:bottom w:w="100" w:type="dxa"/>
              <w:right w:w="100" w:type="dxa"/>
            </w:tcMar>
          </w:tcPr>
          <w:p w14:paraId="3587642E" w14:textId="77777777" w:rsidR="00630172" w:rsidRPr="00630172" w:rsidRDefault="00630172" w:rsidP="00630172">
            <w:pPr>
              <w:widowControl w:val="0"/>
              <w:pBdr>
                <w:top w:val="nil"/>
                <w:left w:val="nil"/>
                <w:bottom w:val="nil"/>
                <w:right w:val="nil"/>
                <w:between w:val="nil"/>
              </w:pBdr>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Quantity</w:t>
            </w:r>
          </w:p>
        </w:tc>
      </w:tr>
      <w:tr w:rsidR="00630172" w:rsidRPr="00630172" w14:paraId="36FFB4F3" w14:textId="77777777" w:rsidTr="007E0A07">
        <w:tc>
          <w:tcPr>
            <w:tcW w:w="840" w:type="dxa"/>
            <w:shd w:val="clear" w:color="auto" w:fill="auto"/>
            <w:tcMar>
              <w:top w:w="100" w:type="dxa"/>
              <w:left w:w="100" w:type="dxa"/>
              <w:bottom w:w="100" w:type="dxa"/>
              <w:right w:w="100" w:type="dxa"/>
            </w:tcMar>
          </w:tcPr>
          <w:p w14:paraId="76AC480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c>
          <w:tcPr>
            <w:tcW w:w="6555" w:type="dxa"/>
            <w:shd w:val="clear" w:color="auto" w:fill="auto"/>
            <w:tcMar>
              <w:top w:w="100" w:type="dxa"/>
              <w:left w:w="100" w:type="dxa"/>
              <w:bottom w:w="100" w:type="dxa"/>
              <w:right w:w="100" w:type="dxa"/>
            </w:tcMar>
          </w:tcPr>
          <w:p w14:paraId="4A53A3FC" w14:textId="77777777" w:rsidR="00630172" w:rsidRPr="00630172" w:rsidRDefault="00630172" w:rsidP="00630172">
            <w:pPr>
              <w:widowControl w:val="0"/>
              <w:suppressAutoHyphens w:val="0"/>
              <w:spacing w:before="0" w:after="0"/>
              <w:rPr>
                <w:rFonts w:ascii="Times New Roman" w:hAnsi="Times New Roman"/>
                <w:b/>
                <w:bCs/>
                <w:sz w:val="22"/>
                <w:szCs w:val="22"/>
                <w:lang w:val="en" w:eastAsia="hr-HR"/>
              </w:rPr>
            </w:pPr>
            <w:r w:rsidRPr="00630172">
              <w:rPr>
                <w:rFonts w:ascii="Times New Roman" w:hAnsi="Times New Roman"/>
                <w:b/>
                <w:bCs/>
                <w:sz w:val="22"/>
                <w:szCs w:val="22"/>
                <w:lang w:val="en" w:eastAsia="hr-HR"/>
              </w:rPr>
              <w:t>Fully Digital Integrated Linear Accelerator</w:t>
            </w:r>
          </w:p>
        </w:tc>
        <w:tc>
          <w:tcPr>
            <w:tcW w:w="1605" w:type="dxa"/>
            <w:shd w:val="clear" w:color="auto" w:fill="auto"/>
            <w:tcMar>
              <w:top w:w="100" w:type="dxa"/>
              <w:left w:w="100" w:type="dxa"/>
              <w:bottom w:w="100" w:type="dxa"/>
              <w:right w:w="100" w:type="dxa"/>
            </w:tcMar>
          </w:tcPr>
          <w:p w14:paraId="05C6CEFF"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BEE7764" w14:textId="77777777" w:rsidTr="007E0A07">
        <w:tc>
          <w:tcPr>
            <w:tcW w:w="840" w:type="dxa"/>
            <w:shd w:val="clear" w:color="auto" w:fill="auto"/>
            <w:tcMar>
              <w:top w:w="100" w:type="dxa"/>
              <w:left w:w="100" w:type="dxa"/>
              <w:bottom w:w="100" w:type="dxa"/>
              <w:right w:w="100" w:type="dxa"/>
            </w:tcMar>
          </w:tcPr>
          <w:p w14:paraId="0ACD9D7B"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1.4</w:t>
            </w:r>
          </w:p>
        </w:tc>
        <w:tc>
          <w:tcPr>
            <w:tcW w:w="6555" w:type="dxa"/>
            <w:shd w:val="clear" w:color="auto" w:fill="auto"/>
            <w:tcMar>
              <w:top w:w="100" w:type="dxa"/>
              <w:left w:w="100" w:type="dxa"/>
              <w:bottom w:w="100" w:type="dxa"/>
              <w:right w:w="100" w:type="dxa"/>
            </w:tcMar>
          </w:tcPr>
          <w:p w14:paraId="0D1F2AF0"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A set of phantoms, computer systems and integrated protocols for morning protocol</w:t>
            </w:r>
          </w:p>
        </w:tc>
        <w:tc>
          <w:tcPr>
            <w:tcW w:w="1605" w:type="dxa"/>
            <w:shd w:val="clear" w:color="auto" w:fill="auto"/>
            <w:tcMar>
              <w:top w:w="100" w:type="dxa"/>
              <w:left w:w="100" w:type="dxa"/>
              <w:bottom w:w="100" w:type="dxa"/>
              <w:right w:w="100" w:type="dxa"/>
            </w:tcMar>
          </w:tcPr>
          <w:p w14:paraId="7FBEF5F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7496EF30" w14:textId="77777777" w:rsidTr="007E0A07">
        <w:tc>
          <w:tcPr>
            <w:tcW w:w="840" w:type="dxa"/>
            <w:shd w:val="clear" w:color="auto" w:fill="auto"/>
            <w:tcMar>
              <w:top w:w="100" w:type="dxa"/>
              <w:left w:w="100" w:type="dxa"/>
              <w:bottom w:w="100" w:type="dxa"/>
              <w:right w:w="100" w:type="dxa"/>
            </w:tcMar>
          </w:tcPr>
          <w:p w14:paraId="66672AF1"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1.5</w:t>
            </w:r>
          </w:p>
        </w:tc>
        <w:tc>
          <w:tcPr>
            <w:tcW w:w="6555" w:type="dxa"/>
            <w:shd w:val="clear" w:color="auto" w:fill="auto"/>
            <w:tcMar>
              <w:top w:w="100" w:type="dxa"/>
              <w:left w:w="100" w:type="dxa"/>
              <w:bottom w:w="100" w:type="dxa"/>
              <w:right w:w="100" w:type="dxa"/>
            </w:tcMar>
          </w:tcPr>
          <w:p w14:paraId="1EE743CF"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Decommissioning of Existing Equipment</w:t>
            </w:r>
          </w:p>
        </w:tc>
        <w:tc>
          <w:tcPr>
            <w:tcW w:w="1605" w:type="dxa"/>
            <w:shd w:val="clear" w:color="auto" w:fill="auto"/>
            <w:tcMar>
              <w:top w:w="100" w:type="dxa"/>
              <w:left w:w="100" w:type="dxa"/>
              <w:bottom w:w="100" w:type="dxa"/>
              <w:right w:w="100" w:type="dxa"/>
            </w:tcMar>
          </w:tcPr>
          <w:p w14:paraId="29211106"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287A25F" w14:textId="77777777" w:rsidTr="007E0A07">
        <w:tc>
          <w:tcPr>
            <w:tcW w:w="840" w:type="dxa"/>
            <w:shd w:val="clear" w:color="auto" w:fill="auto"/>
            <w:tcMar>
              <w:top w:w="100" w:type="dxa"/>
              <w:left w:w="100" w:type="dxa"/>
              <w:bottom w:w="100" w:type="dxa"/>
              <w:right w:w="100" w:type="dxa"/>
            </w:tcMar>
          </w:tcPr>
          <w:p w14:paraId="5D6306BD"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1.6.2</w:t>
            </w:r>
          </w:p>
        </w:tc>
        <w:tc>
          <w:tcPr>
            <w:tcW w:w="6555" w:type="dxa"/>
            <w:shd w:val="clear" w:color="auto" w:fill="auto"/>
            <w:tcMar>
              <w:top w:w="100" w:type="dxa"/>
              <w:left w:w="100" w:type="dxa"/>
              <w:bottom w:w="100" w:type="dxa"/>
              <w:right w:w="100" w:type="dxa"/>
            </w:tcMar>
          </w:tcPr>
          <w:p w14:paraId="3B0655B4"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Digital system for remote monitoring and supervision</w:t>
            </w:r>
          </w:p>
        </w:tc>
        <w:tc>
          <w:tcPr>
            <w:tcW w:w="1605" w:type="dxa"/>
            <w:shd w:val="clear" w:color="auto" w:fill="auto"/>
            <w:tcMar>
              <w:top w:w="100" w:type="dxa"/>
              <w:left w:w="100" w:type="dxa"/>
              <w:bottom w:w="100" w:type="dxa"/>
              <w:right w:w="100" w:type="dxa"/>
            </w:tcMar>
          </w:tcPr>
          <w:p w14:paraId="7D12BA72"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B962510" w14:textId="77777777" w:rsidTr="007E0A07">
        <w:tc>
          <w:tcPr>
            <w:tcW w:w="840" w:type="dxa"/>
            <w:shd w:val="clear" w:color="auto" w:fill="auto"/>
            <w:tcMar>
              <w:top w:w="100" w:type="dxa"/>
              <w:left w:w="100" w:type="dxa"/>
              <w:bottom w:w="100" w:type="dxa"/>
              <w:right w:w="100" w:type="dxa"/>
            </w:tcMar>
          </w:tcPr>
          <w:p w14:paraId="386CF33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1.7.14</w:t>
            </w:r>
          </w:p>
        </w:tc>
        <w:tc>
          <w:tcPr>
            <w:tcW w:w="6555" w:type="dxa"/>
            <w:shd w:val="clear" w:color="auto" w:fill="auto"/>
            <w:tcMar>
              <w:top w:w="100" w:type="dxa"/>
              <w:left w:w="100" w:type="dxa"/>
              <w:bottom w:w="100" w:type="dxa"/>
              <w:right w:w="100" w:type="dxa"/>
            </w:tcMar>
          </w:tcPr>
          <w:p w14:paraId="46BAB974"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Mechanical distance indicator</w:t>
            </w:r>
          </w:p>
        </w:tc>
        <w:tc>
          <w:tcPr>
            <w:tcW w:w="1605" w:type="dxa"/>
            <w:shd w:val="clear" w:color="auto" w:fill="auto"/>
            <w:tcMar>
              <w:top w:w="100" w:type="dxa"/>
              <w:left w:w="100" w:type="dxa"/>
              <w:bottom w:w="100" w:type="dxa"/>
              <w:right w:w="100" w:type="dxa"/>
            </w:tcMar>
          </w:tcPr>
          <w:p w14:paraId="04696D63"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45F55DE" w14:textId="77777777" w:rsidTr="007E0A07">
        <w:tc>
          <w:tcPr>
            <w:tcW w:w="840" w:type="dxa"/>
            <w:shd w:val="clear" w:color="auto" w:fill="auto"/>
            <w:tcMar>
              <w:top w:w="100" w:type="dxa"/>
              <w:left w:w="100" w:type="dxa"/>
              <w:bottom w:w="100" w:type="dxa"/>
              <w:right w:w="100" w:type="dxa"/>
            </w:tcMar>
          </w:tcPr>
          <w:p w14:paraId="2A18B63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1.10</w:t>
            </w:r>
          </w:p>
        </w:tc>
        <w:tc>
          <w:tcPr>
            <w:tcW w:w="6555" w:type="dxa"/>
            <w:shd w:val="clear" w:color="auto" w:fill="auto"/>
            <w:tcMar>
              <w:top w:w="100" w:type="dxa"/>
              <w:left w:w="100" w:type="dxa"/>
              <w:bottom w:w="100" w:type="dxa"/>
              <w:right w:w="100" w:type="dxa"/>
            </w:tcMar>
          </w:tcPr>
          <w:p w14:paraId="11127EC6"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Patient support system (therapeutic 6D couch of the linear accelerator)</w:t>
            </w:r>
          </w:p>
        </w:tc>
        <w:tc>
          <w:tcPr>
            <w:tcW w:w="1605" w:type="dxa"/>
            <w:shd w:val="clear" w:color="auto" w:fill="auto"/>
            <w:tcMar>
              <w:top w:w="100" w:type="dxa"/>
              <w:left w:w="100" w:type="dxa"/>
              <w:bottom w:w="100" w:type="dxa"/>
              <w:right w:w="100" w:type="dxa"/>
            </w:tcMar>
          </w:tcPr>
          <w:p w14:paraId="0D9626E8"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3182306A" w14:textId="77777777" w:rsidTr="007E0A07">
        <w:tc>
          <w:tcPr>
            <w:tcW w:w="840" w:type="dxa"/>
            <w:shd w:val="clear" w:color="auto" w:fill="auto"/>
            <w:tcMar>
              <w:top w:w="100" w:type="dxa"/>
              <w:left w:w="100" w:type="dxa"/>
              <w:bottom w:w="100" w:type="dxa"/>
              <w:right w:w="100" w:type="dxa"/>
            </w:tcMar>
          </w:tcPr>
          <w:p w14:paraId="686DF957"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1.11.2</w:t>
            </w:r>
          </w:p>
        </w:tc>
        <w:tc>
          <w:tcPr>
            <w:tcW w:w="6555" w:type="dxa"/>
            <w:shd w:val="clear" w:color="auto" w:fill="auto"/>
            <w:tcMar>
              <w:top w:w="100" w:type="dxa"/>
              <w:left w:w="100" w:type="dxa"/>
              <w:bottom w:w="100" w:type="dxa"/>
              <w:right w:w="100" w:type="dxa"/>
            </w:tcMar>
          </w:tcPr>
          <w:p w14:paraId="5E037AAF"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Imaging and image processing systems (kV and MV)</w:t>
            </w:r>
          </w:p>
        </w:tc>
        <w:tc>
          <w:tcPr>
            <w:tcW w:w="1605" w:type="dxa"/>
            <w:shd w:val="clear" w:color="auto" w:fill="auto"/>
            <w:tcMar>
              <w:top w:w="100" w:type="dxa"/>
              <w:left w:w="100" w:type="dxa"/>
              <w:bottom w:w="100" w:type="dxa"/>
              <w:right w:w="100" w:type="dxa"/>
            </w:tcMar>
          </w:tcPr>
          <w:p w14:paraId="468683FC"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54851F8" w14:textId="77777777" w:rsidTr="007E0A07">
        <w:tc>
          <w:tcPr>
            <w:tcW w:w="840" w:type="dxa"/>
            <w:shd w:val="clear" w:color="auto" w:fill="auto"/>
            <w:tcMar>
              <w:top w:w="100" w:type="dxa"/>
              <w:left w:w="100" w:type="dxa"/>
              <w:bottom w:w="100" w:type="dxa"/>
              <w:right w:w="100" w:type="dxa"/>
            </w:tcMar>
          </w:tcPr>
          <w:p w14:paraId="6A88327D"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1.12</w:t>
            </w:r>
          </w:p>
        </w:tc>
        <w:tc>
          <w:tcPr>
            <w:tcW w:w="6555" w:type="dxa"/>
            <w:shd w:val="clear" w:color="auto" w:fill="auto"/>
            <w:tcMar>
              <w:top w:w="100" w:type="dxa"/>
              <w:left w:w="100" w:type="dxa"/>
              <w:bottom w:w="100" w:type="dxa"/>
              <w:right w:w="100" w:type="dxa"/>
            </w:tcMar>
          </w:tcPr>
          <w:p w14:paraId="0605D967"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Respiratory Motion Management System</w:t>
            </w:r>
          </w:p>
        </w:tc>
        <w:tc>
          <w:tcPr>
            <w:tcW w:w="1605" w:type="dxa"/>
            <w:shd w:val="clear" w:color="auto" w:fill="auto"/>
            <w:tcMar>
              <w:top w:w="100" w:type="dxa"/>
              <w:left w:w="100" w:type="dxa"/>
              <w:bottom w:w="100" w:type="dxa"/>
              <w:right w:w="100" w:type="dxa"/>
            </w:tcMar>
          </w:tcPr>
          <w:p w14:paraId="2971FECA"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550AB7B" w14:textId="77777777" w:rsidTr="007E0A07">
        <w:tc>
          <w:tcPr>
            <w:tcW w:w="840" w:type="dxa"/>
            <w:shd w:val="clear" w:color="auto" w:fill="auto"/>
            <w:tcMar>
              <w:top w:w="100" w:type="dxa"/>
              <w:left w:w="100" w:type="dxa"/>
              <w:bottom w:w="100" w:type="dxa"/>
              <w:right w:w="100" w:type="dxa"/>
            </w:tcMar>
          </w:tcPr>
          <w:p w14:paraId="127D4E9E"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1.12.1</w:t>
            </w:r>
          </w:p>
        </w:tc>
        <w:tc>
          <w:tcPr>
            <w:tcW w:w="6555" w:type="dxa"/>
            <w:shd w:val="clear" w:color="auto" w:fill="auto"/>
            <w:tcMar>
              <w:top w:w="100" w:type="dxa"/>
              <w:left w:w="100" w:type="dxa"/>
              <w:bottom w:w="100" w:type="dxa"/>
              <w:right w:w="100" w:type="dxa"/>
            </w:tcMar>
          </w:tcPr>
          <w:p w14:paraId="6C3DCDBA"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Imaging Array for Respiratory Motion</w:t>
            </w:r>
          </w:p>
        </w:tc>
        <w:tc>
          <w:tcPr>
            <w:tcW w:w="1605" w:type="dxa"/>
            <w:shd w:val="clear" w:color="auto" w:fill="auto"/>
            <w:tcMar>
              <w:top w:w="100" w:type="dxa"/>
              <w:left w:w="100" w:type="dxa"/>
              <w:bottom w:w="100" w:type="dxa"/>
              <w:right w:w="100" w:type="dxa"/>
            </w:tcMar>
          </w:tcPr>
          <w:p w14:paraId="1A0A399B"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F29AA9A" w14:textId="77777777" w:rsidTr="007E0A07">
        <w:tc>
          <w:tcPr>
            <w:tcW w:w="840" w:type="dxa"/>
            <w:shd w:val="clear" w:color="auto" w:fill="auto"/>
            <w:tcMar>
              <w:top w:w="100" w:type="dxa"/>
              <w:left w:w="100" w:type="dxa"/>
              <w:bottom w:w="100" w:type="dxa"/>
              <w:right w:w="100" w:type="dxa"/>
            </w:tcMar>
          </w:tcPr>
          <w:p w14:paraId="52CF3BB0"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1.12.2</w:t>
            </w:r>
          </w:p>
        </w:tc>
        <w:tc>
          <w:tcPr>
            <w:tcW w:w="6555" w:type="dxa"/>
            <w:shd w:val="clear" w:color="auto" w:fill="auto"/>
            <w:tcMar>
              <w:top w:w="100" w:type="dxa"/>
              <w:left w:w="100" w:type="dxa"/>
              <w:bottom w:w="100" w:type="dxa"/>
              <w:right w:w="100" w:type="dxa"/>
            </w:tcMar>
          </w:tcPr>
          <w:p w14:paraId="7331BD01"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Patient Coaching Solution</w:t>
            </w:r>
          </w:p>
        </w:tc>
        <w:tc>
          <w:tcPr>
            <w:tcW w:w="1605" w:type="dxa"/>
            <w:shd w:val="clear" w:color="auto" w:fill="auto"/>
            <w:tcMar>
              <w:top w:w="100" w:type="dxa"/>
              <w:left w:w="100" w:type="dxa"/>
              <w:bottom w:w="100" w:type="dxa"/>
              <w:right w:w="100" w:type="dxa"/>
            </w:tcMar>
          </w:tcPr>
          <w:p w14:paraId="562CC90C"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813DD62" w14:textId="77777777" w:rsidTr="007E0A07">
        <w:tc>
          <w:tcPr>
            <w:tcW w:w="840" w:type="dxa"/>
            <w:shd w:val="clear" w:color="auto" w:fill="auto"/>
            <w:tcMar>
              <w:top w:w="100" w:type="dxa"/>
              <w:left w:w="100" w:type="dxa"/>
              <w:bottom w:w="100" w:type="dxa"/>
              <w:right w:w="100" w:type="dxa"/>
            </w:tcMar>
          </w:tcPr>
          <w:p w14:paraId="4C82963C"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1.12.3</w:t>
            </w:r>
          </w:p>
        </w:tc>
        <w:tc>
          <w:tcPr>
            <w:tcW w:w="6555" w:type="dxa"/>
            <w:shd w:val="clear" w:color="auto" w:fill="auto"/>
            <w:tcMar>
              <w:top w:w="100" w:type="dxa"/>
              <w:left w:w="100" w:type="dxa"/>
              <w:bottom w:w="100" w:type="dxa"/>
              <w:right w:w="100" w:type="dxa"/>
            </w:tcMar>
          </w:tcPr>
          <w:p w14:paraId="48CA4FCB"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Respiratory Gating Interface to GE Revolution ES</w:t>
            </w:r>
          </w:p>
        </w:tc>
        <w:tc>
          <w:tcPr>
            <w:tcW w:w="1605" w:type="dxa"/>
            <w:shd w:val="clear" w:color="auto" w:fill="auto"/>
            <w:tcMar>
              <w:top w:w="100" w:type="dxa"/>
              <w:left w:w="100" w:type="dxa"/>
              <w:bottom w:w="100" w:type="dxa"/>
              <w:right w:w="100" w:type="dxa"/>
            </w:tcMar>
          </w:tcPr>
          <w:p w14:paraId="1463E9FA"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E86491F" w14:textId="77777777" w:rsidTr="007E0A07">
        <w:tc>
          <w:tcPr>
            <w:tcW w:w="840" w:type="dxa"/>
            <w:shd w:val="clear" w:color="auto" w:fill="auto"/>
            <w:tcMar>
              <w:top w:w="100" w:type="dxa"/>
              <w:left w:w="100" w:type="dxa"/>
              <w:bottom w:w="100" w:type="dxa"/>
              <w:right w:w="100" w:type="dxa"/>
            </w:tcMar>
          </w:tcPr>
          <w:p w14:paraId="0D20CFF9"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lastRenderedPageBreak/>
              <w:t>1.12.4</w:t>
            </w:r>
          </w:p>
        </w:tc>
        <w:tc>
          <w:tcPr>
            <w:tcW w:w="6555" w:type="dxa"/>
            <w:shd w:val="clear" w:color="auto" w:fill="auto"/>
            <w:tcMar>
              <w:top w:w="100" w:type="dxa"/>
              <w:left w:w="100" w:type="dxa"/>
              <w:bottom w:w="100" w:type="dxa"/>
              <w:right w:w="100" w:type="dxa"/>
            </w:tcMar>
          </w:tcPr>
          <w:p w14:paraId="3ED72EFE"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Gated VMAT Delivery</w:t>
            </w:r>
          </w:p>
        </w:tc>
        <w:tc>
          <w:tcPr>
            <w:tcW w:w="1605" w:type="dxa"/>
            <w:shd w:val="clear" w:color="auto" w:fill="auto"/>
            <w:tcMar>
              <w:top w:w="100" w:type="dxa"/>
              <w:left w:w="100" w:type="dxa"/>
              <w:bottom w:w="100" w:type="dxa"/>
              <w:right w:w="100" w:type="dxa"/>
            </w:tcMar>
          </w:tcPr>
          <w:p w14:paraId="60328E34"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330D0537" w14:textId="77777777" w:rsidTr="007E0A07">
        <w:tc>
          <w:tcPr>
            <w:tcW w:w="840" w:type="dxa"/>
            <w:shd w:val="clear" w:color="auto" w:fill="auto"/>
            <w:tcMar>
              <w:top w:w="100" w:type="dxa"/>
              <w:left w:w="100" w:type="dxa"/>
              <w:bottom w:w="100" w:type="dxa"/>
              <w:right w:w="100" w:type="dxa"/>
            </w:tcMar>
          </w:tcPr>
          <w:p w14:paraId="50AFD0C6"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w:t>
            </w:r>
          </w:p>
        </w:tc>
        <w:tc>
          <w:tcPr>
            <w:tcW w:w="6555" w:type="dxa"/>
            <w:shd w:val="clear" w:color="auto" w:fill="auto"/>
            <w:tcMar>
              <w:top w:w="100" w:type="dxa"/>
              <w:left w:w="100" w:type="dxa"/>
              <w:bottom w:w="100" w:type="dxa"/>
              <w:right w:w="100" w:type="dxa"/>
            </w:tcMar>
          </w:tcPr>
          <w:p w14:paraId="03E923B6"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Oncology Information System (OIS)</w:t>
            </w:r>
          </w:p>
        </w:tc>
        <w:tc>
          <w:tcPr>
            <w:tcW w:w="1605" w:type="dxa"/>
            <w:shd w:val="clear" w:color="auto" w:fill="auto"/>
            <w:tcMar>
              <w:top w:w="100" w:type="dxa"/>
              <w:left w:w="100" w:type="dxa"/>
              <w:bottom w:w="100" w:type="dxa"/>
              <w:right w:w="100" w:type="dxa"/>
            </w:tcMar>
          </w:tcPr>
          <w:p w14:paraId="220BA03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27B2D537" w14:textId="77777777" w:rsidTr="007E0A07">
        <w:tc>
          <w:tcPr>
            <w:tcW w:w="840" w:type="dxa"/>
            <w:shd w:val="clear" w:color="auto" w:fill="auto"/>
            <w:tcMar>
              <w:top w:w="100" w:type="dxa"/>
              <w:left w:w="100" w:type="dxa"/>
              <w:bottom w:w="100" w:type="dxa"/>
              <w:right w:w="100" w:type="dxa"/>
            </w:tcMar>
          </w:tcPr>
          <w:p w14:paraId="158DD62A"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1.13.2</w:t>
            </w:r>
          </w:p>
        </w:tc>
        <w:tc>
          <w:tcPr>
            <w:tcW w:w="6555" w:type="dxa"/>
            <w:shd w:val="clear" w:color="auto" w:fill="auto"/>
            <w:tcMar>
              <w:top w:w="100" w:type="dxa"/>
              <w:left w:w="100" w:type="dxa"/>
              <w:bottom w:w="100" w:type="dxa"/>
              <w:right w:w="100" w:type="dxa"/>
            </w:tcMar>
          </w:tcPr>
          <w:p w14:paraId="7D5DD229"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Hardware Set supporting OIS</w:t>
            </w:r>
          </w:p>
        </w:tc>
        <w:tc>
          <w:tcPr>
            <w:tcW w:w="1605" w:type="dxa"/>
            <w:shd w:val="clear" w:color="auto" w:fill="auto"/>
            <w:tcMar>
              <w:top w:w="100" w:type="dxa"/>
              <w:left w:w="100" w:type="dxa"/>
              <w:bottom w:w="100" w:type="dxa"/>
              <w:right w:w="100" w:type="dxa"/>
            </w:tcMar>
          </w:tcPr>
          <w:p w14:paraId="135464FC"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722DE2C7" w14:textId="77777777" w:rsidTr="007E0A07">
        <w:tc>
          <w:tcPr>
            <w:tcW w:w="840" w:type="dxa"/>
            <w:shd w:val="clear" w:color="auto" w:fill="auto"/>
            <w:tcMar>
              <w:top w:w="100" w:type="dxa"/>
              <w:left w:w="100" w:type="dxa"/>
              <w:bottom w:w="100" w:type="dxa"/>
              <w:right w:w="100" w:type="dxa"/>
            </w:tcMar>
          </w:tcPr>
          <w:p w14:paraId="12AA6544"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1.13.3</w:t>
            </w:r>
          </w:p>
        </w:tc>
        <w:tc>
          <w:tcPr>
            <w:tcW w:w="6555" w:type="dxa"/>
            <w:shd w:val="clear" w:color="auto" w:fill="auto"/>
            <w:tcMar>
              <w:top w:w="100" w:type="dxa"/>
              <w:left w:w="100" w:type="dxa"/>
              <w:bottom w:w="100" w:type="dxa"/>
              <w:right w:w="100" w:type="dxa"/>
            </w:tcMar>
          </w:tcPr>
          <w:p w14:paraId="2DFBA3B7"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 xml:space="preserve">Image Review </w:t>
            </w:r>
            <w:proofErr w:type="spellStart"/>
            <w:r w:rsidRPr="00630172">
              <w:rPr>
                <w:rFonts w:ascii="Times New Roman" w:hAnsi="Times New Roman"/>
                <w:sz w:val="22"/>
                <w:szCs w:val="22"/>
                <w:lang w:val="en" w:eastAsia="hr-HR"/>
              </w:rPr>
              <w:t>Licencing</w:t>
            </w:r>
            <w:proofErr w:type="spellEnd"/>
            <w:r w:rsidRPr="00630172">
              <w:rPr>
                <w:rFonts w:ascii="Times New Roman" w:hAnsi="Times New Roman"/>
                <w:sz w:val="22"/>
                <w:szCs w:val="22"/>
                <w:lang w:val="en" w:eastAsia="hr-HR"/>
              </w:rPr>
              <w:t xml:space="preserve"> </w:t>
            </w:r>
          </w:p>
        </w:tc>
        <w:tc>
          <w:tcPr>
            <w:tcW w:w="1605" w:type="dxa"/>
            <w:shd w:val="clear" w:color="auto" w:fill="auto"/>
            <w:tcMar>
              <w:top w:w="100" w:type="dxa"/>
              <w:left w:w="100" w:type="dxa"/>
              <w:bottom w:w="100" w:type="dxa"/>
              <w:right w:w="100" w:type="dxa"/>
            </w:tcMar>
          </w:tcPr>
          <w:p w14:paraId="29C47E4C"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2</w:t>
            </w:r>
          </w:p>
        </w:tc>
      </w:tr>
      <w:tr w:rsidR="00630172" w:rsidRPr="00630172" w14:paraId="5DC66BA2" w14:textId="77777777" w:rsidTr="007E0A07">
        <w:tc>
          <w:tcPr>
            <w:tcW w:w="840" w:type="dxa"/>
            <w:shd w:val="clear" w:color="auto" w:fill="auto"/>
            <w:tcMar>
              <w:top w:w="100" w:type="dxa"/>
              <w:left w:w="100" w:type="dxa"/>
              <w:bottom w:w="100" w:type="dxa"/>
              <w:right w:w="100" w:type="dxa"/>
            </w:tcMar>
          </w:tcPr>
          <w:p w14:paraId="6561DCD5"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1.13.4</w:t>
            </w:r>
          </w:p>
        </w:tc>
        <w:tc>
          <w:tcPr>
            <w:tcW w:w="6555" w:type="dxa"/>
            <w:shd w:val="clear" w:color="auto" w:fill="auto"/>
            <w:tcMar>
              <w:top w:w="100" w:type="dxa"/>
              <w:left w:w="100" w:type="dxa"/>
              <w:bottom w:w="100" w:type="dxa"/>
              <w:right w:w="100" w:type="dxa"/>
            </w:tcMar>
          </w:tcPr>
          <w:p w14:paraId="7661D0FC"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 xml:space="preserve">Electronic Medical Records </w:t>
            </w:r>
            <w:proofErr w:type="spellStart"/>
            <w:r w:rsidRPr="00630172">
              <w:rPr>
                <w:rFonts w:ascii="Times New Roman" w:hAnsi="Times New Roman"/>
                <w:sz w:val="22"/>
                <w:szCs w:val="22"/>
                <w:lang w:val="en" w:eastAsia="hr-HR"/>
              </w:rPr>
              <w:t>Licencing</w:t>
            </w:r>
            <w:proofErr w:type="spellEnd"/>
          </w:p>
        </w:tc>
        <w:tc>
          <w:tcPr>
            <w:tcW w:w="1605" w:type="dxa"/>
            <w:shd w:val="clear" w:color="auto" w:fill="auto"/>
            <w:tcMar>
              <w:top w:w="100" w:type="dxa"/>
              <w:left w:w="100" w:type="dxa"/>
              <w:bottom w:w="100" w:type="dxa"/>
              <w:right w:w="100" w:type="dxa"/>
            </w:tcMar>
          </w:tcPr>
          <w:p w14:paraId="219B4C2F"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3</w:t>
            </w:r>
          </w:p>
        </w:tc>
      </w:tr>
      <w:tr w:rsidR="00630172" w:rsidRPr="00630172" w14:paraId="3512C6F1" w14:textId="77777777" w:rsidTr="007E0A07">
        <w:tc>
          <w:tcPr>
            <w:tcW w:w="840" w:type="dxa"/>
            <w:shd w:val="clear" w:color="auto" w:fill="auto"/>
            <w:tcMar>
              <w:top w:w="100" w:type="dxa"/>
              <w:left w:w="100" w:type="dxa"/>
              <w:bottom w:w="100" w:type="dxa"/>
              <w:right w:w="100" w:type="dxa"/>
            </w:tcMar>
          </w:tcPr>
          <w:p w14:paraId="201C0769"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1.13.5</w:t>
            </w:r>
          </w:p>
        </w:tc>
        <w:tc>
          <w:tcPr>
            <w:tcW w:w="6555" w:type="dxa"/>
            <w:shd w:val="clear" w:color="auto" w:fill="auto"/>
            <w:tcMar>
              <w:top w:w="100" w:type="dxa"/>
              <w:left w:w="100" w:type="dxa"/>
              <w:bottom w:w="100" w:type="dxa"/>
              <w:right w:w="100" w:type="dxa"/>
            </w:tcMar>
          </w:tcPr>
          <w:p w14:paraId="6E550DA6"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 xml:space="preserve">Patient Data Management </w:t>
            </w:r>
            <w:proofErr w:type="spellStart"/>
            <w:r w:rsidRPr="00630172">
              <w:rPr>
                <w:rFonts w:ascii="Times New Roman" w:hAnsi="Times New Roman"/>
                <w:sz w:val="22"/>
                <w:szCs w:val="22"/>
                <w:lang w:val="en" w:eastAsia="hr-HR"/>
              </w:rPr>
              <w:t>Licencing</w:t>
            </w:r>
            <w:proofErr w:type="spellEnd"/>
            <w:r w:rsidRPr="00630172">
              <w:rPr>
                <w:rFonts w:ascii="Times New Roman" w:hAnsi="Times New Roman"/>
                <w:sz w:val="22"/>
                <w:szCs w:val="22"/>
                <w:lang w:val="en" w:eastAsia="hr-HR"/>
              </w:rPr>
              <w:t xml:space="preserve"> </w:t>
            </w:r>
          </w:p>
        </w:tc>
        <w:tc>
          <w:tcPr>
            <w:tcW w:w="1605" w:type="dxa"/>
            <w:shd w:val="clear" w:color="auto" w:fill="auto"/>
            <w:tcMar>
              <w:top w:w="100" w:type="dxa"/>
              <w:left w:w="100" w:type="dxa"/>
              <w:bottom w:w="100" w:type="dxa"/>
              <w:right w:w="100" w:type="dxa"/>
            </w:tcMar>
          </w:tcPr>
          <w:p w14:paraId="4FF99696"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5</w:t>
            </w:r>
          </w:p>
        </w:tc>
      </w:tr>
      <w:tr w:rsidR="00630172" w:rsidRPr="00630172" w14:paraId="04F25902" w14:textId="77777777" w:rsidTr="007E0A07">
        <w:tc>
          <w:tcPr>
            <w:tcW w:w="840" w:type="dxa"/>
            <w:shd w:val="clear" w:color="auto" w:fill="auto"/>
            <w:tcMar>
              <w:top w:w="100" w:type="dxa"/>
              <w:left w:w="100" w:type="dxa"/>
              <w:bottom w:w="100" w:type="dxa"/>
              <w:right w:w="100" w:type="dxa"/>
            </w:tcMar>
          </w:tcPr>
          <w:p w14:paraId="2C66EC36"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1.14.1</w:t>
            </w:r>
          </w:p>
        </w:tc>
        <w:tc>
          <w:tcPr>
            <w:tcW w:w="6555" w:type="dxa"/>
            <w:shd w:val="clear" w:color="auto" w:fill="auto"/>
            <w:tcMar>
              <w:top w:w="100" w:type="dxa"/>
              <w:left w:w="100" w:type="dxa"/>
              <w:bottom w:w="100" w:type="dxa"/>
              <w:right w:w="100" w:type="dxa"/>
            </w:tcMar>
          </w:tcPr>
          <w:p w14:paraId="0380933C"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Planning Workstations</w:t>
            </w:r>
          </w:p>
        </w:tc>
        <w:tc>
          <w:tcPr>
            <w:tcW w:w="1605" w:type="dxa"/>
            <w:shd w:val="clear" w:color="auto" w:fill="auto"/>
            <w:tcMar>
              <w:top w:w="100" w:type="dxa"/>
              <w:left w:w="100" w:type="dxa"/>
              <w:bottom w:w="100" w:type="dxa"/>
              <w:right w:w="100" w:type="dxa"/>
            </w:tcMar>
          </w:tcPr>
          <w:p w14:paraId="769D207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3</w:t>
            </w:r>
          </w:p>
        </w:tc>
      </w:tr>
      <w:tr w:rsidR="00630172" w:rsidRPr="00630172" w14:paraId="2709A2D1" w14:textId="77777777" w:rsidTr="007E0A07">
        <w:tc>
          <w:tcPr>
            <w:tcW w:w="840" w:type="dxa"/>
            <w:shd w:val="clear" w:color="auto" w:fill="auto"/>
            <w:tcMar>
              <w:top w:w="100" w:type="dxa"/>
              <w:left w:w="100" w:type="dxa"/>
              <w:bottom w:w="100" w:type="dxa"/>
              <w:right w:w="100" w:type="dxa"/>
            </w:tcMar>
          </w:tcPr>
          <w:p w14:paraId="604D5FFE"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1.14.3</w:t>
            </w:r>
          </w:p>
        </w:tc>
        <w:tc>
          <w:tcPr>
            <w:tcW w:w="6555" w:type="dxa"/>
            <w:shd w:val="clear" w:color="auto" w:fill="auto"/>
            <w:tcMar>
              <w:top w:w="100" w:type="dxa"/>
              <w:left w:w="100" w:type="dxa"/>
              <w:bottom w:w="100" w:type="dxa"/>
              <w:right w:w="100" w:type="dxa"/>
            </w:tcMar>
          </w:tcPr>
          <w:p w14:paraId="13686AF1"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 xml:space="preserve">Contouring Licenses  </w:t>
            </w:r>
          </w:p>
        </w:tc>
        <w:tc>
          <w:tcPr>
            <w:tcW w:w="1605" w:type="dxa"/>
            <w:shd w:val="clear" w:color="auto" w:fill="auto"/>
            <w:tcMar>
              <w:top w:w="100" w:type="dxa"/>
              <w:left w:w="100" w:type="dxa"/>
              <w:bottom w:w="100" w:type="dxa"/>
              <w:right w:w="100" w:type="dxa"/>
            </w:tcMar>
          </w:tcPr>
          <w:p w14:paraId="27DB66F6"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6</w:t>
            </w:r>
          </w:p>
        </w:tc>
      </w:tr>
      <w:tr w:rsidR="00630172" w:rsidRPr="00630172" w14:paraId="44647B99" w14:textId="77777777" w:rsidTr="007E0A07">
        <w:tc>
          <w:tcPr>
            <w:tcW w:w="840" w:type="dxa"/>
            <w:shd w:val="clear" w:color="auto" w:fill="auto"/>
            <w:tcMar>
              <w:top w:w="100" w:type="dxa"/>
              <w:left w:w="100" w:type="dxa"/>
              <w:bottom w:w="100" w:type="dxa"/>
              <w:right w:w="100" w:type="dxa"/>
            </w:tcMar>
          </w:tcPr>
          <w:p w14:paraId="37B7EF4A"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1.14.4</w:t>
            </w:r>
          </w:p>
        </w:tc>
        <w:tc>
          <w:tcPr>
            <w:tcW w:w="6555" w:type="dxa"/>
            <w:shd w:val="clear" w:color="auto" w:fill="auto"/>
            <w:tcMar>
              <w:top w:w="100" w:type="dxa"/>
              <w:left w:w="100" w:type="dxa"/>
              <w:bottom w:w="100" w:type="dxa"/>
              <w:right w:w="100" w:type="dxa"/>
            </w:tcMar>
          </w:tcPr>
          <w:p w14:paraId="2663A8AD"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Automatic Segmentation License</w:t>
            </w:r>
          </w:p>
        </w:tc>
        <w:tc>
          <w:tcPr>
            <w:tcW w:w="1605" w:type="dxa"/>
            <w:shd w:val="clear" w:color="auto" w:fill="auto"/>
            <w:tcMar>
              <w:top w:w="100" w:type="dxa"/>
              <w:left w:w="100" w:type="dxa"/>
              <w:bottom w:w="100" w:type="dxa"/>
              <w:right w:w="100" w:type="dxa"/>
            </w:tcMar>
          </w:tcPr>
          <w:p w14:paraId="584AB09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5717DA2" w14:textId="77777777" w:rsidTr="007E0A07">
        <w:tc>
          <w:tcPr>
            <w:tcW w:w="840" w:type="dxa"/>
            <w:shd w:val="clear" w:color="auto" w:fill="auto"/>
            <w:tcMar>
              <w:top w:w="100" w:type="dxa"/>
              <w:left w:w="100" w:type="dxa"/>
              <w:bottom w:w="100" w:type="dxa"/>
              <w:right w:w="100" w:type="dxa"/>
            </w:tcMar>
          </w:tcPr>
          <w:p w14:paraId="5DE67D03"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1.14.5</w:t>
            </w:r>
          </w:p>
        </w:tc>
        <w:tc>
          <w:tcPr>
            <w:tcW w:w="6555" w:type="dxa"/>
            <w:shd w:val="clear" w:color="auto" w:fill="auto"/>
            <w:tcMar>
              <w:top w:w="100" w:type="dxa"/>
              <w:left w:w="100" w:type="dxa"/>
              <w:bottom w:w="100" w:type="dxa"/>
              <w:right w:w="100" w:type="dxa"/>
            </w:tcMar>
          </w:tcPr>
          <w:p w14:paraId="6E56D386"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Rigid and Deformable Image Registration License</w:t>
            </w:r>
          </w:p>
        </w:tc>
        <w:tc>
          <w:tcPr>
            <w:tcW w:w="1605" w:type="dxa"/>
            <w:shd w:val="clear" w:color="auto" w:fill="auto"/>
            <w:tcMar>
              <w:top w:w="100" w:type="dxa"/>
              <w:left w:w="100" w:type="dxa"/>
              <w:bottom w:w="100" w:type="dxa"/>
              <w:right w:w="100" w:type="dxa"/>
            </w:tcMar>
          </w:tcPr>
          <w:p w14:paraId="13FDAA0D"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26A60BE" w14:textId="77777777" w:rsidTr="007E0A07">
        <w:tc>
          <w:tcPr>
            <w:tcW w:w="840" w:type="dxa"/>
            <w:shd w:val="clear" w:color="auto" w:fill="auto"/>
            <w:tcMar>
              <w:top w:w="100" w:type="dxa"/>
              <w:left w:w="100" w:type="dxa"/>
              <w:bottom w:w="100" w:type="dxa"/>
              <w:right w:w="100" w:type="dxa"/>
            </w:tcMar>
          </w:tcPr>
          <w:p w14:paraId="6DED5936"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1.14.6</w:t>
            </w:r>
          </w:p>
        </w:tc>
        <w:tc>
          <w:tcPr>
            <w:tcW w:w="6555" w:type="dxa"/>
            <w:shd w:val="clear" w:color="auto" w:fill="auto"/>
            <w:tcMar>
              <w:top w:w="100" w:type="dxa"/>
              <w:left w:w="100" w:type="dxa"/>
              <w:bottom w:w="100" w:type="dxa"/>
              <w:right w:w="100" w:type="dxa"/>
            </w:tcMar>
          </w:tcPr>
          <w:p w14:paraId="458450A5"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Calculation Workstations</w:t>
            </w:r>
          </w:p>
        </w:tc>
        <w:tc>
          <w:tcPr>
            <w:tcW w:w="1605" w:type="dxa"/>
            <w:shd w:val="clear" w:color="auto" w:fill="auto"/>
            <w:tcMar>
              <w:top w:w="100" w:type="dxa"/>
              <w:left w:w="100" w:type="dxa"/>
              <w:bottom w:w="100" w:type="dxa"/>
              <w:right w:w="100" w:type="dxa"/>
            </w:tcMar>
          </w:tcPr>
          <w:p w14:paraId="0016B6AB"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3</w:t>
            </w:r>
          </w:p>
        </w:tc>
      </w:tr>
      <w:tr w:rsidR="00630172" w:rsidRPr="00630172" w14:paraId="72D27C30" w14:textId="77777777" w:rsidTr="007E0A07">
        <w:tc>
          <w:tcPr>
            <w:tcW w:w="840" w:type="dxa"/>
            <w:shd w:val="clear" w:color="auto" w:fill="auto"/>
            <w:tcMar>
              <w:top w:w="100" w:type="dxa"/>
              <w:left w:w="100" w:type="dxa"/>
              <w:bottom w:w="100" w:type="dxa"/>
              <w:right w:w="100" w:type="dxa"/>
            </w:tcMar>
          </w:tcPr>
          <w:p w14:paraId="460E095B"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1.15.1</w:t>
            </w:r>
          </w:p>
        </w:tc>
        <w:tc>
          <w:tcPr>
            <w:tcW w:w="6555" w:type="dxa"/>
            <w:shd w:val="clear" w:color="auto" w:fill="auto"/>
            <w:tcMar>
              <w:top w:w="100" w:type="dxa"/>
              <w:left w:w="100" w:type="dxa"/>
              <w:bottom w:w="100" w:type="dxa"/>
              <w:right w:w="100" w:type="dxa"/>
            </w:tcMar>
          </w:tcPr>
          <w:p w14:paraId="2389AF43"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Commissioning of Treatment Planning System</w:t>
            </w:r>
          </w:p>
        </w:tc>
        <w:tc>
          <w:tcPr>
            <w:tcW w:w="1605" w:type="dxa"/>
            <w:shd w:val="clear" w:color="auto" w:fill="auto"/>
            <w:tcMar>
              <w:top w:w="100" w:type="dxa"/>
              <w:left w:w="100" w:type="dxa"/>
              <w:bottom w:w="100" w:type="dxa"/>
              <w:right w:w="100" w:type="dxa"/>
            </w:tcMar>
          </w:tcPr>
          <w:p w14:paraId="74155E6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D5F4ACE" w14:textId="77777777" w:rsidTr="007E0A07">
        <w:tc>
          <w:tcPr>
            <w:tcW w:w="840" w:type="dxa"/>
            <w:shd w:val="clear" w:color="auto" w:fill="auto"/>
            <w:tcMar>
              <w:top w:w="100" w:type="dxa"/>
              <w:left w:w="100" w:type="dxa"/>
              <w:bottom w:w="100" w:type="dxa"/>
              <w:right w:w="100" w:type="dxa"/>
            </w:tcMar>
          </w:tcPr>
          <w:p w14:paraId="0FF32C42"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1.16.1</w:t>
            </w:r>
          </w:p>
        </w:tc>
        <w:tc>
          <w:tcPr>
            <w:tcW w:w="6555" w:type="dxa"/>
            <w:shd w:val="clear" w:color="auto" w:fill="auto"/>
            <w:tcMar>
              <w:top w:w="100" w:type="dxa"/>
              <w:left w:w="100" w:type="dxa"/>
              <w:bottom w:w="100" w:type="dxa"/>
              <w:right w:w="100" w:type="dxa"/>
            </w:tcMar>
          </w:tcPr>
          <w:p w14:paraId="7EF5AC53"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High-resolution small-field dosimetry detector</w:t>
            </w:r>
          </w:p>
        </w:tc>
        <w:tc>
          <w:tcPr>
            <w:tcW w:w="1605" w:type="dxa"/>
            <w:shd w:val="clear" w:color="auto" w:fill="auto"/>
            <w:tcMar>
              <w:top w:w="100" w:type="dxa"/>
              <w:left w:w="100" w:type="dxa"/>
              <w:bottom w:w="100" w:type="dxa"/>
              <w:right w:w="100" w:type="dxa"/>
            </w:tcMar>
          </w:tcPr>
          <w:p w14:paraId="31E0EFE1"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10E7076" w14:textId="77777777" w:rsidTr="007E0A07">
        <w:tc>
          <w:tcPr>
            <w:tcW w:w="840" w:type="dxa"/>
            <w:shd w:val="clear" w:color="auto" w:fill="auto"/>
            <w:tcMar>
              <w:top w:w="100" w:type="dxa"/>
              <w:left w:w="100" w:type="dxa"/>
              <w:bottom w:w="100" w:type="dxa"/>
              <w:right w:w="100" w:type="dxa"/>
            </w:tcMar>
          </w:tcPr>
          <w:p w14:paraId="6BC57FEC"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1.16.2</w:t>
            </w:r>
          </w:p>
        </w:tc>
        <w:tc>
          <w:tcPr>
            <w:tcW w:w="6555" w:type="dxa"/>
            <w:shd w:val="clear" w:color="auto" w:fill="auto"/>
            <w:tcMar>
              <w:top w:w="100" w:type="dxa"/>
              <w:left w:w="100" w:type="dxa"/>
              <w:bottom w:w="100" w:type="dxa"/>
              <w:right w:w="100" w:type="dxa"/>
            </w:tcMar>
          </w:tcPr>
          <w:p w14:paraId="12C97EB1"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Thermometer</w:t>
            </w:r>
          </w:p>
        </w:tc>
        <w:tc>
          <w:tcPr>
            <w:tcW w:w="1605" w:type="dxa"/>
            <w:shd w:val="clear" w:color="auto" w:fill="auto"/>
            <w:tcMar>
              <w:top w:w="100" w:type="dxa"/>
              <w:left w:w="100" w:type="dxa"/>
              <w:bottom w:w="100" w:type="dxa"/>
              <w:right w:w="100" w:type="dxa"/>
            </w:tcMar>
          </w:tcPr>
          <w:p w14:paraId="570E0CD0"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52EB5DF4" w14:textId="77777777" w:rsidTr="007E0A07">
        <w:tc>
          <w:tcPr>
            <w:tcW w:w="840" w:type="dxa"/>
            <w:shd w:val="clear" w:color="auto" w:fill="auto"/>
            <w:tcMar>
              <w:top w:w="100" w:type="dxa"/>
              <w:left w:w="100" w:type="dxa"/>
              <w:bottom w:w="100" w:type="dxa"/>
              <w:right w:w="100" w:type="dxa"/>
            </w:tcMar>
          </w:tcPr>
          <w:p w14:paraId="31FD4419"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1.16.3</w:t>
            </w:r>
          </w:p>
        </w:tc>
        <w:tc>
          <w:tcPr>
            <w:tcW w:w="6555" w:type="dxa"/>
            <w:shd w:val="clear" w:color="auto" w:fill="auto"/>
            <w:tcMar>
              <w:top w:w="100" w:type="dxa"/>
              <w:left w:w="100" w:type="dxa"/>
              <w:bottom w:w="100" w:type="dxa"/>
              <w:right w:w="100" w:type="dxa"/>
            </w:tcMar>
          </w:tcPr>
          <w:p w14:paraId="5C2A35C4"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Barometer</w:t>
            </w:r>
          </w:p>
        </w:tc>
        <w:tc>
          <w:tcPr>
            <w:tcW w:w="1605" w:type="dxa"/>
            <w:shd w:val="clear" w:color="auto" w:fill="auto"/>
            <w:tcMar>
              <w:top w:w="100" w:type="dxa"/>
              <w:left w:w="100" w:type="dxa"/>
              <w:bottom w:w="100" w:type="dxa"/>
              <w:right w:w="100" w:type="dxa"/>
            </w:tcMar>
          </w:tcPr>
          <w:p w14:paraId="5A5D935E"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01045B92" w14:textId="77777777" w:rsidTr="007E0A07">
        <w:tc>
          <w:tcPr>
            <w:tcW w:w="840" w:type="dxa"/>
            <w:shd w:val="clear" w:color="auto" w:fill="auto"/>
            <w:tcMar>
              <w:top w:w="100" w:type="dxa"/>
              <w:left w:w="100" w:type="dxa"/>
              <w:bottom w:w="100" w:type="dxa"/>
              <w:right w:w="100" w:type="dxa"/>
            </w:tcMar>
          </w:tcPr>
          <w:p w14:paraId="2A804D8E"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1.16.4</w:t>
            </w:r>
          </w:p>
        </w:tc>
        <w:tc>
          <w:tcPr>
            <w:tcW w:w="6555" w:type="dxa"/>
            <w:shd w:val="clear" w:color="auto" w:fill="auto"/>
            <w:tcMar>
              <w:top w:w="100" w:type="dxa"/>
              <w:left w:w="100" w:type="dxa"/>
              <w:bottom w:w="100" w:type="dxa"/>
              <w:right w:w="100" w:type="dxa"/>
            </w:tcMar>
          </w:tcPr>
          <w:p w14:paraId="172C1A5A" w14:textId="77777777" w:rsidR="00630172" w:rsidRPr="00630172" w:rsidRDefault="00630172" w:rsidP="00630172">
            <w:pPr>
              <w:widowControl w:val="0"/>
              <w:suppressAutoHyphens w:val="0"/>
              <w:spacing w:before="0" w:after="0"/>
              <w:rPr>
                <w:rFonts w:ascii="Times New Roman" w:hAnsi="Times New Roman"/>
                <w:sz w:val="22"/>
                <w:szCs w:val="22"/>
                <w:lang w:val="en" w:eastAsia="hr-HR"/>
              </w:rPr>
            </w:pPr>
            <w:r w:rsidRPr="00630172">
              <w:rPr>
                <w:rFonts w:ascii="Times New Roman" w:hAnsi="Times New Roman"/>
                <w:sz w:val="22"/>
                <w:szCs w:val="22"/>
                <w:lang w:val="en" w:eastAsia="hr-HR"/>
              </w:rPr>
              <w:t xml:space="preserve">Package of </w:t>
            </w:r>
            <w:proofErr w:type="spellStart"/>
            <w:r w:rsidRPr="00630172">
              <w:rPr>
                <w:rFonts w:ascii="Times New Roman" w:hAnsi="Times New Roman"/>
                <w:sz w:val="22"/>
                <w:szCs w:val="22"/>
                <w:lang w:val="en" w:eastAsia="hr-HR"/>
              </w:rPr>
              <w:t>Radiochromic</w:t>
            </w:r>
            <w:proofErr w:type="spellEnd"/>
            <w:r w:rsidRPr="00630172">
              <w:rPr>
                <w:rFonts w:ascii="Times New Roman" w:hAnsi="Times New Roman"/>
                <w:sz w:val="22"/>
                <w:szCs w:val="22"/>
                <w:lang w:val="en" w:eastAsia="hr-HR"/>
              </w:rPr>
              <w:t xml:space="preserve"> films</w:t>
            </w:r>
          </w:p>
        </w:tc>
        <w:tc>
          <w:tcPr>
            <w:tcW w:w="1605" w:type="dxa"/>
            <w:shd w:val="clear" w:color="auto" w:fill="auto"/>
            <w:tcMar>
              <w:top w:w="100" w:type="dxa"/>
              <w:left w:w="100" w:type="dxa"/>
              <w:bottom w:w="100" w:type="dxa"/>
              <w:right w:w="100" w:type="dxa"/>
            </w:tcMar>
          </w:tcPr>
          <w:p w14:paraId="11FBB967"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2</w:t>
            </w:r>
          </w:p>
        </w:tc>
      </w:tr>
      <w:tr w:rsidR="00630172" w:rsidRPr="00630172" w14:paraId="61DFA8FF" w14:textId="77777777" w:rsidTr="007E0A07">
        <w:tc>
          <w:tcPr>
            <w:tcW w:w="840" w:type="dxa"/>
            <w:shd w:val="clear" w:color="auto" w:fill="auto"/>
            <w:tcMar>
              <w:top w:w="100" w:type="dxa"/>
              <w:left w:w="100" w:type="dxa"/>
              <w:bottom w:w="100" w:type="dxa"/>
              <w:right w:w="100" w:type="dxa"/>
            </w:tcMar>
          </w:tcPr>
          <w:p w14:paraId="1F399787"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1.16.5</w:t>
            </w:r>
          </w:p>
        </w:tc>
        <w:tc>
          <w:tcPr>
            <w:tcW w:w="6555" w:type="dxa"/>
            <w:shd w:val="clear" w:color="auto" w:fill="auto"/>
            <w:tcMar>
              <w:top w:w="100" w:type="dxa"/>
              <w:left w:w="100" w:type="dxa"/>
              <w:bottom w:w="100" w:type="dxa"/>
              <w:right w:w="100" w:type="dxa"/>
            </w:tcMar>
          </w:tcPr>
          <w:p w14:paraId="7F76E551"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Electronic spirit level</w:t>
            </w:r>
          </w:p>
        </w:tc>
        <w:tc>
          <w:tcPr>
            <w:tcW w:w="1605" w:type="dxa"/>
            <w:shd w:val="clear" w:color="auto" w:fill="auto"/>
            <w:tcMar>
              <w:top w:w="100" w:type="dxa"/>
              <w:left w:w="100" w:type="dxa"/>
              <w:bottom w:w="100" w:type="dxa"/>
              <w:right w:w="100" w:type="dxa"/>
            </w:tcMar>
          </w:tcPr>
          <w:p w14:paraId="0F484083"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2296A0BB" w14:textId="77777777" w:rsidTr="007E0A07">
        <w:tc>
          <w:tcPr>
            <w:tcW w:w="840" w:type="dxa"/>
            <w:shd w:val="clear" w:color="auto" w:fill="auto"/>
            <w:tcMar>
              <w:top w:w="100" w:type="dxa"/>
              <w:left w:w="100" w:type="dxa"/>
              <w:bottom w:w="100" w:type="dxa"/>
              <w:right w:w="100" w:type="dxa"/>
            </w:tcMar>
          </w:tcPr>
          <w:p w14:paraId="5C631C72"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1.17.1</w:t>
            </w:r>
          </w:p>
        </w:tc>
        <w:tc>
          <w:tcPr>
            <w:tcW w:w="6555" w:type="dxa"/>
            <w:shd w:val="clear" w:color="auto" w:fill="auto"/>
            <w:tcMar>
              <w:top w:w="100" w:type="dxa"/>
              <w:left w:w="100" w:type="dxa"/>
              <w:bottom w:w="100" w:type="dxa"/>
              <w:right w:w="100" w:type="dxa"/>
            </w:tcMar>
          </w:tcPr>
          <w:p w14:paraId="61472B23"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 xml:space="preserve">CCTV System for Patient </w:t>
            </w:r>
            <w:proofErr w:type="spellStart"/>
            <w:r w:rsidRPr="00630172">
              <w:rPr>
                <w:rFonts w:ascii="Times New Roman" w:hAnsi="Times New Roman"/>
                <w:sz w:val="22"/>
                <w:szCs w:val="22"/>
                <w:lang w:val="en" w:eastAsia="hr-HR"/>
              </w:rPr>
              <w:t>Survailance</w:t>
            </w:r>
            <w:proofErr w:type="spellEnd"/>
          </w:p>
        </w:tc>
        <w:tc>
          <w:tcPr>
            <w:tcW w:w="1605" w:type="dxa"/>
            <w:shd w:val="clear" w:color="auto" w:fill="auto"/>
            <w:tcMar>
              <w:top w:w="100" w:type="dxa"/>
              <w:left w:w="100" w:type="dxa"/>
              <w:bottom w:w="100" w:type="dxa"/>
              <w:right w:w="100" w:type="dxa"/>
            </w:tcMar>
          </w:tcPr>
          <w:p w14:paraId="024EC2DF"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24E9EC6" w14:textId="77777777" w:rsidTr="007E0A07">
        <w:tc>
          <w:tcPr>
            <w:tcW w:w="840" w:type="dxa"/>
            <w:shd w:val="clear" w:color="auto" w:fill="auto"/>
            <w:tcMar>
              <w:top w:w="100" w:type="dxa"/>
              <w:left w:w="100" w:type="dxa"/>
              <w:bottom w:w="100" w:type="dxa"/>
              <w:right w:w="100" w:type="dxa"/>
            </w:tcMar>
          </w:tcPr>
          <w:p w14:paraId="07A0F6DD"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1.17.2</w:t>
            </w:r>
          </w:p>
        </w:tc>
        <w:tc>
          <w:tcPr>
            <w:tcW w:w="6555" w:type="dxa"/>
            <w:shd w:val="clear" w:color="auto" w:fill="auto"/>
            <w:tcMar>
              <w:top w:w="100" w:type="dxa"/>
              <w:left w:w="100" w:type="dxa"/>
              <w:bottom w:w="100" w:type="dxa"/>
              <w:right w:w="100" w:type="dxa"/>
            </w:tcMar>
          </w:tcPr>
          <w:p w14:paraId="452B26FF"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Laser-based Patient Positioning System</w:t>
            </w:r>
          </w:p>
        </w:tc>
        <w:tc>
          <w:tcPr>
            <w:tcW w:w="1605" w:type="dxa"/>
            <w:shd w:val="clear" w:color="auto" w:fill="auto"/>
            <w:tcMar>
              <w:top w:w="100" w:type="dxa"/>
              <w:left w:w="100" w:type="dxa"/>
              <w:bottom w:w="100" w:type="dxa"/>
              <w:right w:w="100" w:type="dxa"/>
            </w:tcMar>
          </w:tcPr>
          <w:p w14:paraId="2383CCA5"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77B20FF5" w14:textId="77777777" w:rsidTr="007E0A07">
        <w:tc>
          <w:tcPr>
            <w:tcW w:w="840" w:type="dxa"/>
            <w:shd w:val="clear" w:color="auto" w:fill="auto"/>
            <w:tcMar>
              <w:top w:w="100" w:type="dxa"/>
              <w:left w:w="100" w:type="dxa"/>
              <w:bottom w:w="100" w:type="dxa"/>
              <w:right w:w="100" w:type="dxa"/>
            </w:tcMar>
          </w:tcPr>
          <w:p w14:paraId="6D2DDAAF"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1.18.1</w:t>
            </w:r>
          </w:p>
        </w:tc>
        <w:tc>
          <w:tcPr>
            <w:tcW w:w="6555" w:type="dxa"/>
            <w:shd w:val="clear" w:color="auto" w:fill="auto"/>
            <w:tcMar>
              <w:top w:w="100" w:type="dxa"/>
              <w:left w:w="100" w:type="dxa"/>
              <w:bottom w:w="100" w:type="dxa"/>
              <w:right w:w="100" w:type="dxa"/>
            </w:tcMar>
          </w:tcPr>
          <w:p w14:paraId="132B53BA"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Warranty Support</w:t>
            </w:r>
          </w:p>
        </w:tc>
        <w:tc>
          <w:tcPr>
            <w:tcW w:w="1605" w:type="dxa"/>
            <w:shd w:val="clear" w:color="auto" w:fill="auto"/>
            <w:tcMar>
              <w:top w:w="100" w:type="dxa"/>
              <w:left w:w="100" w:type="dxa"/>
              <w:bottom w:w="100" w:type="dxa"/>
              <w:right w:w="100" w:type="dxa"/>
            </w:tcMar>
          </w:tcPr>
          <w:p w14:paraId="0037CCA2"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43E2A7CF" w14:textId="77777777" w:rsidTr="007E0A07">
        <w:tc>
          <w:tcPr>
            <w:tcW w:w="840" w:type="dxa"/>
            <w:shd w:val="clear" w:color="auto" w:fill="auto"/>
            <w:tcMar>
              <w:top w:w="100" w:type="dxa"/>
              <w:left w:w="100" w:type="dxa"/>
              <w:bottom w:w="100" w:type="dxa"/>
              <w:right w:w="100" w:type="dxa"/>
            </w:tcMar>
          </w:tcPr>
          <w:p w14:paraId="051B1130"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1.19</w:t>
            </w:r>
          </w:p>
        </w:tc>
        <w:tc>
          <w:tcPr>
            <w:tcW w:w="6555" w:type="dxa"/>
            <w:shd w:val="clear" w:color="auto" w:fill="auto"/>
            <w:tcMar>
              <w:top w:w="100" w:type="dxa"/>
              <w:left w:w="100" w:type="dxa"/>
              <w:bottom w:w="100" w:type="dxa"/>
              <w:right w:w="100" w:type="dxa"/>
            </w:tcMar>
          </w:tcPr>
          <w:p w14:paraId="7A6EFE94" w14:textId="77777777" w:rsidR="00630172" w:rsidRPr="00630172" w:rsidRDefault="00630172" w:rsidP="00630172">
            <w:pPr>
              <w:widowControl w:val="0"/>
              <w:suppressAutoHyphens w:val="0"/>
              <w:spacing w:before="0" w:after="0" w:line="276" w:lineRule="auto"/>
              <w:jc w:val="both"/>
              <w:rPr>
                <w:rFonts w:ascii="Times New Roman" w:hAnsi="Times New Roman"/>
                <w:sz w:val="22"/>
                <w:szCs w:val="22"/>
                <w:lang w:val="en" w:eastAsia="hr-HR"/>
              </w:rPr>
            </w:pPr>
            <w:r w:rsidRPr="00630172">
              <w:rPr>
                <w:rFonts w:ascii="Times New Roman" w:hAnsi="Times New Roman"/>
                <w:sz w:val="22"/>
                <w:szCs w:val="22"/>
                <w:lang w:val="en" w:eastAsia="hr-HR"/>
              </w:rPr>
              <w:t>Integrated SGRT System</w:t>
            </w:r>
          </w:p>
        </w:tc>
        <w:tc>
          <w:tcPr>
            <w:tcW w:w="1605" w:type="dxa"/>
            <w:shd w:val="clear" w:color="auto" w:fill="auto"/>
            <w:tcMar>
              <w:top w:w="100" w:type="dxa"/>
              <w:left w:w="100" w:type="dxa"/>
              <w:bottom w:w="100" w:type="dxa"/>
              <w:right w:w="100" w:type="dxa"/>
            </w:tcMar>
          </w:tcPr>
          <w:p w14:paraId="0F29710D"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w:t>
            </w:r>
          </w:p>
        </w:tc>
      </w:tr>
      <w:tr w:rsidR="00630172" w:rsidRPr="00630172" w14:paraId="1AE24040" w14:textId="77777777" w:rsidTr="007E0A07">
        <w:tc>
          <w:tcPr>
            <w:tcW w:w="840" w:type="dxa"/>
            <w:shd w:val="clear" w:color="auto" w:fill="auto"/>
            <w:tcMar>
              <w:top w:w="100" w:type="dxa"/>
              <w:left w:w="100" w:type="dxa"/>
              <w:bottom w:w="100" w:type="dxa"/>
              <w:right w:w="100" w:type="dxa"/>
            </w:tcMar>
          </w:tcPr>
          <w:p w14:paraId="694C90DB" w14:textId="77777777" w:rsidR="00630172" w:rsidRPr="00630172" w:rsidRDefault="00630172" w:rsidP="00630172">
            <w:pPr>
              <w:widowControl w:val="0"/>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2</w:t>
            </w:r>
          </w:p>
        </w:tc>
        <w:tc>
          <w:tcPr>
            <w:tcW w:w="6555" w:type="dxa"/>
            <w:shd w:val="clear" w:color="auto" w:fill="auto"/>
            <w:tcMar>
              <w:top w:w="100" w:type="dxa"/>
              <w:left w:w="100" w:type="dxa"/>
              <w:bottom w:w="100" w:type="dxa"/>
              <w:right w:w="100" w:type="dxa"/>
            </w:tcMar>
          </w:tcPr>
          <w:p w14:paraId="395E0789" w14:textId="77777777" w:rsidR="00630172" w:rsidRPr="00630172" w:rsidRDefault="00630172" w:rsidP="00630172">
            <w:pPr>
              <w:widowControl w:val="0"/>
              <w:suppressAutoHyphens w:val="0"/>
              <w:spacing w:before="0" w:after="0" w:line="276" w:lineRule="auto"/>
              <w:jc w:val="both"/>
              <w:rPr>
                <w:rFonts w:ascii="Times New Roman" w:hAnsi="Times New Roman"/>
                <w:b/>
                <w:bCs/>
                <w:sz w:val="22"/>
                <w:szCs w:val="22"/>
                <w:lang w:val="en" w:eastAsia="hr-HR"/>
              </w:rPr>
            </w:pPr>
            <w:r w:rsidRPr="00630172">
              <w:rPr>
                <w:rFonts w:ascii="Times New Roman" w:hAnsi="Times New Roman"/>
                <w:b/>
                <w:bCs/>
                <w:sz w:val="22"/>
                <w:szCs w:val="22"/>
                <w:lang w:val="en" w:eastAsia="hr-HR"/>
              </w:rPr>
              <w:t>Training of Clinical and Administrative Staff</w:t>
            </w:r>
          </w:p>
        </w:tc>
        <w:tc>
          <w:tcPr>
            <w:tcW w:w="1605" w:type="dxa"/>
            <w:shd w:val="clear" w:color="auto" w:fill="auto"/>
            <w:tcMar>
              <w:top w:w="100" w:type="dxa"/>
              <w:left w:w="100" w:type="dxa"/>
              <w:bottom w:w="100" w:type="dxa"/>
              <w:right w:w="100" w:type="dxa"/>
            </w:tcMar>
          </w:tcPr>
          <w:p w14:paraId="6753F4C6" w14:textId="77777777" w:rsidR="00630172" w:rsidRPr="00630172" w:rsidRDefault="00630172" w:rsidP="00630172">
            <w:pPr>
              <w:widowControl w:val="0"/>
              <w:pBdr>
                <w:top w:val="nil"/>
                <w:left w:val="nil"/>
                <w:bottom w:val="nil"/>
                <w:right w:val="nil"/>
                <w:between w:val="nil"/>
              </w:pBdr>
              <w:suppressAutoHyphens w:val="0"/>
              <w:spacing w:before="0" w:after="0"/>
              <w:jc w:val="center"/>
              <w:rPr>
                <w:rFonts w:ascii="Times New Roman" w:hAnsi="Times New Roman"/>
                <w:sz w:val="22"/>
                <w:szCs w:val="22"/>
                <w:lang w:val="en" w:eastAsia="hr-HR"/>
              </w:rPr>
            </w:pPr>
            <w:r w:rsidRPr="00630172">
              <w:rPr>
                <w:rFonts w:ascii="Times New Roman" w:hAnsi="Times New Roman"/>
                <w:sz w:val="22"/>
                <w:szCs w:val="22"/>
                <w:lang w:val="en" w:eastAsia="hr-HR"/>
              </w:rPr>
              <w:t>15</w:t>
            </w:r>
          </w:p>
        </w:tc>
      </w:tr>
    </w:tbl>
    <w:p w14:paraId="1358E43B" w14:textId="77777777" w:rsidR="009A35ED" w:rsidRDefault="009A35ED">
      <w:pPr>
        <w:sectPr w:rsidR="009A35ED">
          <w:headerReference w:type="even" r:id="rId9"/>
          <w:headerReference w:type="default" r:id="rId10"/>
          <w:footerReference w:type="even" r:id="rId11"/>
          <w:footerReference w:type="default" r:id="rId12"/>
          <w:headerReference w:type="first" r:id="rId13"/>
          <w:footerReference w:type="first" r:id="rId14"/>
          <w:pgSz w:w="11906" w:h="16838"/>
          <w:pgMar w:top="777" w:right="1418" w:bottom="1134" w:left="1134" w:header="720" w:footer="0" w:gutter="0"/>
          <w:cols w:space="720"/>
          <w:formProt w:val="0"/>
          <w:docGrid w:linePitch="100" w:charSpace="8192"/>
        </w:sectPr>
      </w:pPr>
    </w:p>
    <w:p w14:paraId="07DBBC93" w14:textId="77777777" w:rsidR="009A35ED" w:rsidRDefault="009A35ED">
      <w:pPr>
        <w:pStyle w:val="Tijeloteksta"/>
        <w:rPr>
          <w:rFonts w:ascii="Times New Roman" w:hAnsi="Times New Roman"/>
          <w:sz w:val="22"/>
        </w:rPr>
      </w:pPr>
    </w:p>
    <w:p w14:paraId="13DDF9C5" w14:textId="77777777" w:rsidR="009A35ED" w:rsidRDefault="009A35ED">
      <w:pPr>
        <w:sectPr w:rsidR="009A35ED">
          <w:type w:val="continuous"/>
          <w:pgSz w:w="11906" w:h="16838"/>
          <w:pgMar w:top="777" w:right="1418" w:bottom="1134" w:left="1134" w:header="720" w:footer="0" w:gutter="0"/>
          <w:cols w:space="720"/>
          <w:formProt w:val="0"/>
          <w:docGrid w:linePitch="100" w:charSpace="8192"/>
        </w:sectPr>
      </w:pPr>
    </w:p>
    <w:p w14:paraId="45C3AE0B" w14:textId="77777777" w:rsidR="009A35ED" w:rsidRDefault="00000000">
      <w:pPr>
        <w:ind w:left="567"/>
        <w:jc w:val="both"/>
        <w:rPr>
          <w:rFonts w:ascii="Times New Roman" w:hAnsi="Times New Roman"/>
          <w:sz w:val="22"/>
        </w:rPr>
      </w:pPr>
      <w:r>
        <w:rPr>
          <w:rFonts w:ascii="Times New Roman" w:hAnsi="Times New Roman"/>
          <w:sz w:val="22"/>
        </w:rPr>
        <w:t xml:space="preserve">The place of acceptance of the goods shall be </w:t>
      </w:r>
      <w:bookmarkStart w:id="3" w:name="_Hlk212699741"/>
      <w:r>
        <w:rPr>
          <w:rFonts w:ascii="Times New Roman" w:hAnsi="Times New Roman"/>
          <w:sz w:val="22"/>
        </w:rPr>
        <w:t xml:space="preserve">University Clinical Hospital Mostar, Oncology Clinical, </w:t>
      </w:r>
      <w:proofErr w:type="spellStart"/>
      <w:r>
        <w:rPr>
          <w:rFonts w:ascii="Times New Roman" w:hAnsi="Times New Roman"/>
          <w:sz w:val="22"/>
        </w:rPr>
        <w:t>Bijeli</w:t>
      </w:r>
      <w:proofErr w:type="spellEnd"/>
      <w:r>
        <w:rPr>
          <w:rFonts w:ascii="Times New Roman" w:hAnsi="Times New Roman"/>
          <w:sz w:val="22"/>
        </w:rPr>
        <w:t xml:space="preserve"> </w:t>
      </w:r>
      <w:proofErr w:type="spellStart"/>
      <w:r>
        <w:rPr>
          <w:rFonts w:ascii="Times New Roman" w:hAnsi="Times New Roman"/>
          <w:sz w:val="22"/>
        </w:rPr>
        <w:t>Brijeg</w:t>
      </w:r>
      <w:proofErr w:type="spellEnd"/>
      <w:r>
        <w:rPr>
          <w:rFonts w:ascii="Times New Roman" w:hAnsi="Times New Roman"/>
          <w:sz w:val="22"/>
        </w:rPr>
        <w:t xml:space="preserve"> bb, 88000 Mostar </w:t>
      </w:r>
      <w:bookmarkEnd w:id="3"/>
      <w:r>
        <w:rPr>
          <w:rFonts w:ascii="Times New Roman" w:hAnsi="Times New Roman"/>
          <w:sz w:val="22"/>
        </w:rPr>
        <w:t>and the Incoterm applicable shall be DDP</w:t>
      </w:r>
      <w:r>
        <w:rPr>
          <w:rStyle w:val="FootnoteAnchor"/>
          <w:rFonts w:ascii="Times New Roman" w:hAnsi="Times New Roman"/>
          <w:sz w:val="22"/>
        </w:rPr>
        <w:footnoteReference w:id="1"/>
      </w:r>
      <w:r>
        <w:rPr>
          <w:rFonts w:ascii="Times New Roman" w:hAnsi="Times New Roman"/>
          <w:sz w:val="22"/>
        </w:rPr>
        <w:t>.</w:t>
      </w:r>
    </w:p>
    <w:p w14:paraId="7EF8ADAA" w14:textId="77777777" w:rsidR="009A35ED" w:rsidRDefault="00000000">
      <w:pPr>
        <w:ind w:left="567"/>
        <w:jc w:val="both"/>
        <w:rPr>
          <w:rFonts w:ascii="Times New Roman" w:hAnsi="Times New Roman"/>
          <w:sz w:val="22"/>
        </w:rPr>
      </w:pPr>
      <w:r>
        <w:rPr>
          <w:rFonts w:ascii="Times New Roman" w:hAnsi="Times New Roman"/>
          <w:sz w:val="22"/>
        </w:rPr>
        <w:lastRenderedPageBreak/>
        <w:t>The period of implementation of the task is 210 calendar days in total, starting from the day after the signing of the Contract by the last contracting party and ending on the day of issuance of the certificate of provisional acceptance. This implementation period includes the supply delivery and installation of equipment within 90 calendar days for and 90 for the completion of all other tasks by the tenderer, including calibration, acceptance testing and commissioning, and 30 days for the issuance of the certificate of provisional acceptance by the contracting authority.</w:t>
      </w:r>
    </w:p>
    <w:p w14:paraId="252B5283"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1.2</w:t>
      </w:r>
      <w:r>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Start w:id="4" w:name="_Ref500330319"/>
      <w:bookmarkStart w:id="5" w:name="_Ref499723935"/>
      <w:bookmarkEnd w:id="4"/>
      <w:bookmarkEnd w:id="5"/>
    </w:p>
    <w:p w14:paraId="0A0939E5"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 xml:space="preserve">1.4 </w:t>
      </w:r>
      <w:r>
        <w:rPr>
          <w:rFonts w:ascii="Times New Roman" w:hAnsi="Times New Roman"/>
          <w:sz w:val="22"/>
          <w:lang w:val="en-GB"/>
        </w:rPr>
        <w:tab/>
        <w:t xml:space="preserve">Tenderers are not authorised to tender for a variant solution in addition to the present tender. </w:t>
      </w:r>
      <w:r>
        <w:rPr>
          <w:rFonts w:ascii="Times New Roman" w:hAnsi="Times New Roman"/>
          <w:sz w:val="22"/>
          <w:lang w:val="en-GB"/>
        </w:rPr>
        <w:br/>
      </w:r>
    </w:p>
    <w:p w14:paraId="1EFEB28D" w14:textId="77777777" w:rsidR="009A35ED" w:rsidRDefault="00000000">
      <w:pPr>
        <w:pStyle w:val="Naslov1"/>
        <w:numPr>
          <w:ilvl w:val="0"/>
          <w:numId w:val="2"/>
        </w:numPr>
      </w:pPr>
      <w:bookmarkStart w:id="6" w:name="_Toc42488071"/>
      <w:r>
        <w:t>Timetable</w:t>
      </w:r>
      <w:bookmarkEnd w:id="6"/>
    </w:p>
    <w:p w14:paraId="2C149315" w14:textId="77777777" w:rsidR="009A35ED" w:rsidRDefault="009A35ED"/>
    <w:tbl>
      <w:tblPr>
        <w:tblW w:w="8647" w:type="dxa"/>
        <w:tblInd w:w="108" w:type="dxa"/>
        <w:tblLook w:val="0000" w:firstRow="0" w:lastRow="0" w:firstColumn="0" w:lastColumn="0" w:noHBand="0" w:noVBand="0"/>
      </w:tblPr>
      <w:tblGrid>
        <w:gridCol w:w="3968"/>
        <w:gridCol w:w="2410"/>
        <w:gridCol w:w="2269"/>
      </w:tblGrid>
      <w:tr w:rsidR="009A35ED" w14:paraId="5ECE9833" w14:textId="77777777">
        <w:tc>
          <w:tcPr>
            <w:tcW w:w="3968" w:type="dxa"/>
            <w:tcBorders>
              <w:top w:val="single" w:sz="4" w:space="0" w:color="000000"/>
              <w:left w:val="single" w:sz="4" w:space="0" w:color="000000"/>
              <w:right w:val="single" w:sz="4" w:space="0" w:color="000000"/>
            </w:tcBorders>
          </w:tcPr>
          <w:p w14:paraId="2C5B4786" w14:textId="77777777" w:rsidR="009A35ED" w:rsidRDefault="009A35ED">
            <w:pPr>
              <w:keepNext/>
              <w:jc w:val="both"/>
              <w:rPr>
                <w:rFonts w:ascii="Times New Roman" w:hAnsi="Times New Roman"/>
              </w:rPr>
            </w:pPr>
            <w:bookmarkStart w:id="7" w:name="_Hlk213399123"/>
          </w:p>
        </w:tc>
        <w:tc>
          <w:tcPr>
            <w:tcW w:w="2410" w:type="dxa"/>
            <w:tcBorders>
              <w:top w:val="single" w:sz="4" w:space="0" w:color="000000"/>
              <w:left w:val="single" w:sz="4" w:space="0" w:color="000000"/>
              <w:bottom w:val="single" w:sz="4" w:space="0" w:color="000000"/>
              <w:right w:val="single" w:sz="4" w:space="0" w:color="000000"/>
            </w:tcBorders>
            <w:shd w:val="pct10" w:color="auto" w:fill="FFFFFF"/>
          </w:tcPr>
          <w:p w14:paraId="44D3B0AD" w14:textId="77777777" w:rsidR="009A35ED" w:rsidRDefault="00000000">
            <w:pPr>
              <w:keepNext/>
              <w:jc w:val="both"/>
              <w:rPr>
                <w:rFonts w:ascii="Times New Roman" w:hAnsi="Times New Roman"/>
                <w:b/>
                <w:sz w:val="18"/>
              </w:rPr>
            </w:pPr>
            <w:r>
              <w:rPr>
                <w:rFonts w:ascii="Times New Roman" w:hAnsi="Times New Roman"/>
                <w:b/>
                <w:sz w:val="18"/>
              </w:rPr>
              <w:t>DATE</w:t>
            </w:r>
          </w:p>
        </w:tc>
        <w:tc>
          <w:tcPr>
            <w:tcW w:w="2269" w:type="dxa"/>
            <w:tcBorders>
              <w:top w:val="single" w:sz="4" w:space="0" w:color="000000"/>
              <w:left w:val="single" w:sz="4" w:space="0" w:color="000000"/>
              <w:right w:val="single" w:sz="4" w:space="0" w:color="000000"/>
            </w:tcBorders>
            <w:shd w:val="pct10" w:color="auto" w:fill="FFFFFF"/>
          </w:tcPr>
          <w:p w14:paraId="082DC441" w14:textId="77777777" w:rsidR="009A35ED" w:rsidRDefault="00000000">
            <w:pPr>
              <w:jc w:val="both"/>
              <w:rPr>
                <w:rFonts w:ascii="Times New Roman" w:hAnsi="Times New Roman"/>
                <w:b/>
                <w:sz w:val="18"/>
              </w:rPr>
            </w:pPr>
            <w:r>
              <w:rPr>
                <w:rFonts w:ascii="Times New Roman" w:hAnsi="Times New Roman"/>
                <w:b/>
                <w:sz w:val="18"/>
              </w:rPr>
              <w:t>TIME*</w:t>
            </w:r>
          </w:p>
        </w:tc>
      </w:tr>
      <w:tr w:rsidR="009A35ED" w14:paraId="3B25BCED"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36B1CB46" w14:textId="77777777" w:rsidR="009A35ED" w:rsidRDefault="00000000">
            <w:pPr>
              <w:jc w:val="both"/>
              <w:rPr>
                <w:rFonts w:ascii="Times New Roman" w:hAnsi="Times New Roman"/>
                <w:b/>
                <w:sz w:val="22"/>
              </w:rPr>
            </w:pPr>
            <w:r>
              <w:rPr>
                <w:rFonts w:ascii="Times New Roman" w:hAnsi="Times New Roman"/>
                <w:b/>
                <w:sz w:val="22"/>
              </w:rPr>
              <w:t>Clarification meeting / site visit (if any)</w:t>
            </w:r>
          </w:p>
        </w:tc>
        <w:tc>
          <w:tcPr>
            <w:tcW w:w="2410" w:type="dxa"/>
            <w:tcBorders>
              <w:top w:val="single" w:sz="4" w:space="0" w:color="000000"/>
              <w:left w:val="single" w:sz="4" w:space="0" w:color="000000"/>
              <w:bottom w:val="single" w:sz="4" w:space="0" w:color="000000"/>
              <w:right w:val="single" w:sz="4" w:space="0" w:color="000000"/>
            </w:tcBorders>
          </w:tcPr>
          <w:p w14:paraId="5DD001BD" w14:textId="77777777" w:rsidR="009A35ED" w:rsidRDefault="00000000">
            <w:pPr>
              <w:rPr>
                <w:rFonts w:ascii="Times New Roman" w:hAnsi="Times New Roman"/>
                <w:sz w:val="22"/>
              </w:rPr>
            </w:pPr>
            <w:proofErr w:type="gramStart"/>
            <w:r>
              <w:rPr>
                <w:rFonts w:ascii="Times New Roman" w:hAnsi="Times New Roman"/>
                <w:sz w:val="22"/>
              </w:rPr>
              <w:t>November,</w:t>
            </w:r>
            <w:proofErr w:type="gramEnd"/>
            <w:r>
              <w:rPr>
                <w:rFonts w:ascii="Times New Roman" w:hAnsi="Times New Roman"/>
                <w:sz w:val="22"/>
              </w:rPr>
              <w:t xml:space="preserve"> 20. 2025. </w:t>
            </w:r>
          </w:p>
          <w:p w14:paraId="0FDF8A2D" w14:textId="77777777" w:rsidR="009A35ED" w:rsidRDefault="009A35ED">
            <w:pPr>
              <w:jc w:val="center"/>
              <w:rPr>
                <w:rFonts w:ascii="Times New Roman" w:hAnsi="Times New Roman"/>
                <w:sz w:val="22"/>
              </w:rPr>
            </w:pPr>
          </w:p>
        </w:tc>
        <w:tc>
          <w:tcPr>
            <w:tcW w:w="2269" w:type="dxa"/>
            <w:tcBorders>
              <w:top w:val="single" w:sz="4" w:space="0" w:color="000000"/>
              <w:left w:val="single" w:sz="4" w:space="0" w:color="000000"/>
              <w:bottom w:val="single" w:sz="4" w:space="0" w:color="000000"/>
              <w:right w:val="single" w:sz="4" w:space="0" w:color="000000"/>
            </w:tcBorders>
          </w:tcPr>
          <w:p w14:paraId="0DC4A403" w14:textId="62A229A4" w:rsidR="009A35ED" w:rsidRDefault="00000000">
            <w:pPr>
              <w:jc w:val="center"/>
              <w:rPr>
                <w:rFonts w:ascii="Times New Roman" w:hAnsi="Times New Roman"/>
                <w:sz w:val="22"/>
              </w:rPr>
            </w:pPr>
            <w:r>
              <w:rPr>
                <w:rFonts w:ascii="Times New Roman" w:hAnsi="Times New Roman"/>
                <w:sz w:val="22"/>
              </w:rPr>
              <w:t xml:space="preserve">At 13:00 CET, Oncology </w:t>
            </w:r>
            <w:proofErr w:type="spellStart"/>
            <w:proofErr w:type="gramStart"/>
            <w:r>
              <w:rPr>
                <w:rFonts w:ascii="Times New Roman" w:hAnsi="Times New Roman"/>
                <w:sz w:val="22"/>
              </w:rPr>
              <w:t>Clinic,</w:t>
            </w:r>
            <w:r w:rsidR="00630172">
              <w:rPr>
                <w:rFonts w:ascii="Times New Roman" w:hAnsi="Times New Roman"/>
                <w:sz w:val="22"/>
              </w:rPr>
              <w:t>UCH</w:t>
            </w:r>
            <w:proofErr w:type="spellEnd"/>
            <w:proofErr w:type="gramEnd"/>
            <w:r w:rsidR="00630172">
              <w:rPr>
                <w:rFonts w:ascii="Times New Roman" w:hAnsi="Times New Roman"/>
                <w:sz w:val="22"/>
              </w:rPr>
              <w:t xml:space="preserve"> Mostar,</w:t>
            </w:r>
            <w:r>
              <w:rPr>
                <w:rFonts w:ascii="Times New Roman" w:hAnsi="Times New Roman"/>
                <w:sz w:val="22"/>
              </w:rPr>
              <w:t xml:space="preserve"> </w:t>
            </w:r>
            <w:proofErr w:type="spellStart"/>
            <w:r>
              <w:rPr>
                <w:rFonts w:ascii="Times New Roman" w:hAnsi="Times New Roman"/>
                <w:sz w:val="22"/>
              </w:rPr>
              <w:t>Bijeli</w:t>
            </w:r>
            <w:proofErr w:type="spellEnd"/>
            <w:r>
              <w:rPr>
                <w:rFonts w:ascii="Times New Roman" w:hAnsi="Times New Roman"/>
                <w:sz w:val="22"/>
              </w:rPr>
              <w:t xml:space="preserve"> </w:t>
            </w:r>
            <w:proofErr w:type="spellStart"/>
            <w:r>
              <w:rPr>
                <w:rFonts w:ascii="Times New Roman" w:hAnsi="Times New Roman"/>
                <w:sz w:val="22"/>
              </w:rPr>
              <w:t>Brijeg</w:t>
            </w:r>
            <w:proofErr w:type="spellEnd"/>
            <w:r>
              <w:rPr>
                <w:rFonts w:ascii="Times New Roman" w:hAnsi="Times New Roman"/>
                <w:sz w:val="22"/>
              </w:rPr>
              <w:t xml:space="preserve"> bb, 88 000 Mostar</w:t>
            </w:r>
          </w:p>
          <w:p w14:paraId="4BD4BB64" w14:textId="77777777" w:rsidR="009A35ED" w:rsidRDefault="009A35ED">
            <w:pPr>
              <w:jc w:val="center"/>
              <w:rPr>
                <w:rFonts w:ascii="Times New Roman" w:hAnsi="Times New Roman"/>
                <w:sz w:val="22"/>
              </w:rPr>
            </w:pPr>
          </w:p>
        </w:tc>
      </w:tr>
      <w:tr w:rsidR="009A35ED" w14:paraId="06420938"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31CDA285" w14:textId="77777777" w:rsidR="009A35ED" w:rsidRDefault="00000000">
            <w:pPr>
              <w:keepNext/>
              <w:rPr>
                <w:rFonts w:ascii="Times New Roman" w:hAnsi="Times New Roman"/>
                <w:b/>
                <w:sz w:val="22"/>
              </w:rPr>
            </w:pPr>
            <w:r>
              <w:rPr>
                <w:rFonts w:ascii="Times New Roman" w:hAnsi="Times New Roman"/>
                <w:b/>
                <w:sz w:val="22"/>
              </w:rPr>
              <w:t>Deadline for requesting clarifications from the Contracting Authority - Project partner</w:t>
            </w:r>
          </w:p>
        </w:tc>
        <w:tc>
          <w:tcPr>
            <w:tcW w:w="2410" w:type="dxa"/>
            <w:tcBorders>
              <w:top w:val="single" w:sz="4" w:space="0" w:color="000000"/>
              <w:left w:val="single" w:sz="4" w:space="0" w:color="000000"/>
              <w:bottom w:val="single" w:sz="4" w:space="0" w:color="000000"/>
              <w:right w:val="single" w:sz="4" w:space="0" w:color="000000"/>
            </w:tcBorders>
          </w:tcPr>
          <w:p w14:paraId="38E09AAA" w14:textId="77777777" w:rsidR="009A35ED" w:rsidRDefault="00000000">
            <w:pPr>
              <w:rPr>
                <w:rFonts w:ascii="Times New Roman" w:hAnsi="Times New Roman"/>
                <w:sz w:val="22"/>
              </w:rPr>
            </w:pPr>
            <w:proofErr w:type="gramStart"/>
            <w:r>
              <w:rPr>
                <w:rFonts w:ascii="Times New Roman" w:hAnsi="Times New Roman"/>
                <w:sz w:val="22"/>
              </w:rPr>
              <w:t>December,</w:t>
            </w:r>
            <w:proofErr w:type="gramEnd"/>
            <w:r>
              <w:rPr>
                <w:rFonts w:ascii="Times New Roman" w:hAnsi="Times New Roman"/>
                <w:sz w:val="22"/>
              </w:rPr>
              <w:t xml:space="preserve"> 22. 2025.</w:t>
            </w:r>
          </w:p>
        </w:tc>
        <w:tc>
          <w:tcPr>
            <w:tcW w:w="2269" w:type="dxa"/>
            <w:tcBorders>
              <w:top w:val="single" w:sz="4" w:space="0" w:color="000000"/>
              <w:left w:val="single" w:sz="4" w:space="0" w:color="000000"/>
              <w:bottom w:val="single" w:sz="4" w:space="0" w:color="000000"/>
              <w:right w:val="single" w:sz="4" w:space="0" w:color="000000"/>
            </w:tcBorders>
          </w:tcPr>
          <w:p w14:paraId="1B9A3723" w14:textId="77777777" w:rsidR="009A35ED" w:rsidRDefault="00000000">
            <w:pPr>
              <w:jc w:val="center"/>
              <w:rPr>
                <w:rFonts w:ascii="Times New Roman" w:hAnsi="Times New Roman"/>
                <w:sz w:val="22"/>
              </w:rPr>
            </w:pPr>
            <w:r>
              <w:rPr>
                <w:rFonts w:ascii="Times New Roman" w:hAnsi="Times New Roman"/>
                <w:sz w:val="22"/>
              </w:rPr>
              <w:t xml:space="preserve">At 10:00 CET </w:t>
            </w:r>
          </w:p>
        </w:tc>
      </w:tr>
      <w:tr w:rsidR="009A35ED" w14:paraId="48304EDB"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2E68521B" w14:textId="77777777" w:rsidR="009A35ED" w:rsidRDefault="00000000">
            <w:pPr>
              <w:rPr>
                <w:rFonts w:ascii="Times New Roman" w:hAnsi="Times New Roman"/>
                <w:b/>
                <w:sz w:val="22"/>
              </w:rPr>
            </w:pPr>
            <w:r>
              <w:rPr>
                <w:rFonts w:ascii="Times New Roman" w:hAnsi="Times New Roman"/>
                <w:b/>
                <w:sz w:val="22"/>
              </w:rPr>
              <w:t>Last date on which clarifications are issued by the contracting authority - Project partner</w:t>
            </w:r>
          </w:p>
        </w:tc>
        <w:tc>
          <w:tcPr>
            <w:tcW w:w="2410" w:type="dxa"/>
            <w:tcBorders>
              <w:top w:val="single" w:sz="4" w:space="0" w:color="000000"/>
              <w:left w:val="single" w:sz="4" w:space="0" w:color="000000"/>
              <w:bottom w:val="single" w:sz="4" w:space="0" w:color="000000"/>
              <w:right w:val="single" w:sz="4" w:space="0" w:color="000000"/>
            </w:tcBorders>
          </w:tcPr>
          <w:p w14:paraId="7322A874" w14:textId="77777777" w:rsidR="009A35ED" w:rsidRDefault="00000000">
            <w:pPr>
              <w:rPr>
                <w:rFonts w:ascii="Times New Roman" w:hAnsi="Times New Roman"/>
                <w:sz w:val="22"/>
              </w:rPr>
            </w:pPr>
            <w:r>
              <w:rPr>
                <w:rFonts w:ascii="Times New Roman" w:hAnsi="Times New Roman"/>
                <w:sz w:val="22"/>
              </w:rPr>
              <w:t xml:space="preserve">January,01.2026. </w:t>
            </w:r>
          </w:p>
        </w:tc>
        <w:tc>
          <w:tcPr>
            <w:tcW w:w="2269" w:type="dxa"/>
            <w:tcBorders>
              <w:top w:val="single" w:sz="4" w:space="0" w:color="000000"/>
              <w:left w:val="single" w:sz="4" w:space="0" w:color="000000"/>
              <w:bottom w:val="single" w:sz="4" w:space="0" w:color="000000"/>
              <w:right w:val="single" w:sz="4" w:space="0" w:color="000000"/>
            </w:tcBorders>
          </w:tcPr>
          <w:p w14:paraId="13A55165" w14:textId="77777777" w:rsidR="009A35ED" w:rsidRDefault="00000000">
            <w:pPr>
              <w:jc w:val="center"/>
              <w:rPr>
                <w:rFonts w:ascii="Times New Roman" w:hAnsi="Times New Roman"/>
                <w:sz w:val="22"/>
              </w:rPr>
            </w:pPr>
            <w:r>
              <w:rPr>
                <w:rFonts w:ascii="Times New Roman" w:hAnsi="Times New Roman"/>
                <w:sz w:val="22"/>
              </w:rPr>
              <w:t>At 10:00 CET</w:t>
            </w:r>
          </w:p>
        </w:tc>
      </w:tr>
      <w:tr w:rsidR="009A35ED" w14:paraId="07A4BDC2"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004E061F" w14:textId="77777777" w:rsidR="009A35ED" w:rsidRDefault="00000000">
            <w:pPr>
              <w:jc w:val="both"/>
              <w:rPr>
                <w:rFonts w:ascii="Times New Roman" w:hAnsi="Times New Roman"/>
                <w:b/>
                <w:sz w:val="22"/>
              </w:rPr>
            </w:pPr>
            <w:r>
              <w:rPr>
                <w:rFonts w:ascii="Times New Roman" w:hAnsi="Times New Roman"/>
                <w:b/>
                <w:sz w:val="22"/>
              </w:rPr>
              <w:t>Deadline for submission of tenders</w:t>
            </w:r>
          </w:p>
        </w:tc>
        <w:tc>
          <w:tcPr>
            <w:tcW w:w="2410" w:type="dxa"/>
            <w:tcBorders>
              <w:top w:val="single" w:sz="4" w:space="0" w:color="000000"/>
              <w:left w:val="single" w:sz="4" w:space="0" w:color="000000"/>
              <w:bottom w:val="single" w:sz="4" w:space="0" w:color="000000"/>
              <w:right w:val="single" w:sz="4" w:space="0" w:color="000000"/>
            </w:tcBorders>
          </w:tcPr>
          <w:p w14:paraId="4C4D8F94" w14:textId="77777777" w:rsidR="009A35ED" w:rsidRDefault="00000000">
            <w:pPr>
              <w:rPr>
                <w:rFonts w:ascii="Times New Roman" w:hAnsi="Times New Roman"/>
                <w:sz w:val="22"/>
              </w:rPr>
            </w:pPr>
            <w:r>
              <w:rPr>
                <w:rFonts w:ascii="Times New Roman" w:hAnsi="Times New Roman"/>
                <w:sz w:val="22"/>
              </w:rPr>
              <w:t>12.01. 2026.</w:t>
            </w:r>
          </w:p>
        </w:tc>
        <w:tc>
          <w:tcPr>
            <w:tcW w:w="2269" w:type="dxa"/>
            <w:tcBorders>
              <w:top w:val="single" w:sz="4" w:space="0" w:color="000000"/>
              <w:left w:val="single" w:sz="4" w:space="0" w:color="000000"/>
              <w:bottom w:val="single" w:sz="4" w:space="0" w:color="000000"/>
              <w:right w:val="single" w:sz="4" w:space="0" w:color="000000"/>
            </w:tcBorders>
          </w:tcPr>
          <w:p w14:paraId="568A0312" w14:textId="77777777" w:rsidR="009A35ED" w:rsidRDefault="00000000">
            <w:pPr>
              <w:jc w:val="center"/>
              <w:rPr>
                <w:rFonts w:ascii="Times New Roman" w:hAnsi="Times New Roman"/>
                <w:sz w:val="22"/>
              </w:rPr>
            </w:pPr>
            <w:r>
              <w:rPr>
                <w:rFonts w:ascii="Times New Roman" w:hAnsi="Times New Roman"/>
                <w:sz w:val="22"/>
              </w:rPr>
              <w:t>10:00 CET</w:t>
            </w:r>
          </w:p>
        </w:tc>
      </w:tr>
      <w:tr w:rsidR="009A35ED" w14:paraId="6D41D9C6"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56106463" w14:textId="77777777" w:rsidR="009A35ED" w:rsidRDefault="00000000">
            <w:pPr>
              <w:jc w:val="both"/>
              <w:rPr>
                <w:rFonts w:ascii="Times New Roman" w:hAnsi="Times New Roman"/>
                <w:b/>
                <w:sz w:val="22"/>
              </w:rPr>
            </w:pPr>
            <w:r>
              <w:rPr>
                <w:rFonts w:ascii="Times New Roman" w:hAnsi="Times New Roman"/>
                <w:b/>
                <w:sz w:val="22"/>
              </w:rPr>
              <w:t>Tender opening session</w:t>
            </w:r>
          </w:p>
        </w:tc>
        <w:tc>
          <w:tcPr>
            <w:tcW w:w="2410" w:type="dxa"/>
            <w:tcBorders>
              <w:top w:val="single" w:sz="4" w:space="0" w:color="000000"/>
              <w:left w:val="single" w:sz="4" w:space="0" w:color="000000"/>
              <w:bottom w:val="single" w:sz="4" w:space="0" w:color="000000"/>
              <w:right w:val="single" w:sz="4" w:space="0" w:color="000000"/>
            </w:tcBorders>
          </w:tcPr>
          <w:p w14:paraId="4DE80A8C" w14:textId="77777777" w:rsidR="009A35ED" w:rsidRDefault="00000000">
            <w:pPr>
              <w:rPr>
                <w:rFonts w:ascii="Times New Roman" w:hAnsi="Times New Roman"/>
                <w:sz w:val="22"/>
              </w:rPr>
            </w:pPr>
            <w:r>
              <w:rPr>
                <w:rFonts w:ascii="Times New Roman" w:hAnsi="Times New Roman"/>
                <w:sz w:val="22"/>
              </w:rPr>
              <w:t>12.01.2026.</w:t>
            </w:r>
          </w:p>
        </w:tc>
        <w:tc>
          <w:tcPr>
            <w:tcW w:w="2269" w:type="dxa"/>
            <w:tcBorders>
              <w:top w:val="single" w:sz="4" w:space="0" w:color="000000"/>
              <w:left w:val="single" w:sz="4" w:space="0" w:color="000000"/>
              <w:bottom w:val="single" w:sz="4" w:space="0" w:color="000000"/>
              <w:right w:val="single" w:sz="4" w:space="0" w:color="000000"/>
            </w:tcBorders>
          </w:tcPr>
          <w:p w14:paraId="59E97BDE" w14:textId="77777777" w:rsidR="009A35ED" w:rsidRDefault="00000000">
            <w:pPr>
              <w:jc w:val="center"/>
              <w:rPr>
                <w:rFonts w:ascii="Times New Roman" w:hAnsi="Times New Roman"/>
                <w:sz w:val="22"/>
              </w:rPr>
            </w:pPr>
            <w:r>
              <w:rPr>
                <w:rFonts w:ascii="Times New Roman" w:hAnsi="Times New Roman"/>
                <w:sz w:val="22"/>
              </w:rPr>
              <w:t xml:space="preserve">12:00 CET </w:t>
            </w:r>
          </w:p>
        </w:tc>
      </w:tr>
      <w:tr w:rsidR="009A35ED" w14:paraId="0E71290C"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124C70E0" w14:textId="77777777" w:rsidR="009A35ED" w:rsidRDefault="00000000">
            <w:pPr>
              <w:tabs>
                <w:tab w:val="left" w:pos="851"/>
              </w:tabs>
              <w:jc w:val="both"/>
              <w:rPr>
                <w:rFonts w:ascii="Times New Roman" w:hAnsi="Times New Roman"/>
                <w:b/>
                <w:sz w:val="22"/>
              </w:rPr>
            </w:pPr>
            <w:r>
              <w:rPr>
                <w:rFonts w:ascii="Times New Roman" w:hAnsi="Times New Roman"/>
                <w:b/>
                <w:sz w:val="22"/>
              </w:rPr>
              <w:t>Notification of award to the successful tenderer**</w:t>
            </w:r>
          </w:p>
        </w:tc>
        <w:tc>
          <w:tcPr>
            <w:tcW w:w="2410" w:type="dxa"/>
            <w:tcBorders>
              <w:top w:val="single" w:sz="4" w:space="0" w:color="000000"/>
              <w:left w:val="single" w:sz="4" w:space="0" w:color="000000"/>
              <w:bottom w:val="single" w:sz="4" w:space="0" w:color="000000"/>
              <w:right w:val="single" w:sz="4" w:space="0" w:color="000000"/>
            </w:tcBorders>
          </w:tcPr>
          <w:p w14:paraId="1993033D" w14:textId="77777777" w:rsidR="009A35ED" w:rsidRDefault="00000000">
            <w:pPr>
              <w:tabs>
                <w:tab w:val="left" w:pos="851"/>
              </w:tabs>
              <w:rPr>
                <w:rFonts w:ascii="Times New Roman" w:hAnsi="Times New Roman"/>
                <w:sz w:val="22"/>
              </w:rPr>
            </w:pPr>
            <w:r>
              <w:rPr>
                <w:rFonts w:ascii="Times New Roman" w:hAnsi="Times New Roman"/>
                <w:sz w:val="22"/>
              </w:rPr>
              <w:t>26.</w:t>
            </w:r>
            <w:proofErr w:type="gramStart"/>
            <w:r>
              <w:rPr>
                <w:rFonts w:ascii="Times New Roman" w:hAnsi="Times New Roman"/>
                <w:sz w:val="22"/>
              </w:rPr>
              <w:t>01..</w:t>
            </w:r>
            <w:proofErr w:type="gramEnd"/>
            <w:r>
              <w:rPr>
                <w:rFonts w:ascii="Times New Roman" w:hAnsi="Times New Roman"/>
                <w:sz w:val="22"/>
              </w:rPr>
              <w:t>2026,</w:t>
            </w:r>
          </w:p>
        </w:tc>
        <w:tc>
          <w:tcPr>
            <w:tcW w:w="2269" w:type="dxa"/>
            <w:tcBorders>
              <w:top w:val="single" w:sz="4" w:space="0" w:color="000000"/>
              <w:left w:val="single" w:sz="4" w:space="0" w:color="000000"/>
              <w:bottom w:val="single" w:sz="4" w:space="0" w:color="000000"/>
              <w:right w:val="single" w:sz="4" w:space="0" w:color="000000"/>
            </w:tcBorders>
          </w:tcPr>
          <w:p w14:paraId="37F0080A" w14:textId="77777777" w:rsidR="009A35ED" w:rsidRDefault="00000000">
            <w:pPr>
              <w:tabs>
                <w:tab w:val="left" w:pos="851"/>
              </w:tabs>
              <w:jc w:val="center"/>
              <w:rPr>
                <w:rFonts w:ascii="Times New Roman" w:hAnsi="Times New Roman"/>
                <w:sz w:val="22"/>
              </w:rPr>
            </w:pPr>
            <w:r>
              <w:rPr>
                <w:rFonts w:ascii="Times New Roman" w:hAnsi="Times New Roman"/>
                <w:sz w:val="22"/>
              </w:rPr>
              <w:t>-</w:t>
            </w:r>
          </w:p>
        </w:tc>
      </w:tr>
      <w:tr w:rsidR="009A35ED" w14:paraId="4EF02F31" w14:textId="77777777">
        <w:tc>
          <w:tcPr>
            <w:tcW w:w="3968" w:type="dxa"/>
            <w:tcBorders>
              <w:top w:val="single" w:sz="4" w:space="0" w:color="000000"/>
              <w:left w:val="single" w:sz="4" w:space="0" w:color="000000"/>
              <w:bottom w:val="single" w:sz="4" w:space="0" w:color="000000"/>
              <w:right w:val="single" w:sz="4" w:space="0" w:color="000000"/>
            </w:tcBorders>
            <w:shd w:val="pct10" w:color="auto" w:fill="FFFFFF"/>
          </w:tcPr>
          <w:p w14:paraId="26407ACA" w14:textId="77777777" w:rsidR="009A35ED" w:rsidRDefault="00000000">
            <w:pPr>
              <w:tabs>
                <w:tab w:val="left" w:pos="851"/>
              </w:tabs>
              <w:jc w:val="both"/>
              <w:rPr>
                <w:rFonts w:ascii="Times New Roman" w:hAnsi="Times New Roman"/>
                <w:b/>
                <w:sz w:val="22"/>
              </w:rPr>
            </w:pPr>
            <w:r>
              <w:rPr>
                <w:rFonts w:ascii="Times New Roman" w:hAnsi="Times New Roman"/>
                <w:b/>
                <w:sz w:val="22"/>
              </w:rPr>
              <w:t>Signature of the contract**</w:t>
            </w:r>
          </w:p>
        </w:tc>
        <w:tc>
          <w:tcPr>
            <w:tcW w:w="2410" w:type="dxa"/>
            <w:tcBorders>
              <w:top w:val="single" w:sz="4" w:space="0" w:color="000000"/>
              <w:left w:val="single" w:sz="4" w:space="0" w:color="000000"/>
              <w:bottom w:val="single" w:sz="4" w:space="0" w:color="000000"/>
              <w:right w:val="single" w:sz="4" w:space="0" w:color="000000"/>
            </w:tcBorders>
          </w:tcPr>
          <w:p w14:paraId="12B37186" w14:textId="77777777" w:rsidR="009A35ED" w:rsidRDefault="00000000">
            <w:pPr>
              <w:tabs>
                <w:tab w:val="left" w:pos="851"/>
              </w:tabs>
              <w:rPr>
                <w:rFonts w:ascii="Times New Roman" w:hAnsi="Times New Roman"/>
                <w:sz w:val="22"/>
              </w:rPr>
            </w:pPr>
            <w:r>
              <w:rPr>
                <w:rFonts w:ascii="Times New Roman" w:hAnsi="Times New Roman"/>
                <w:sz w:val="22"/>
              </w:rPr>
              <w:t>11.02.2026.</w:t>
            </w:r>
          </w:p>
        </w:tc>
        <w:tc>
          <w:tcPr>
            <w:tcW w:w="2269" w:type="dxa"/>
            <w:tcBorders>
              <w:top w:val="single" w:sz="4" w:space="0" w:color="000000"/>
              <w:left w:val="single" w:sz="4" w:space="0" w:color="000000"/>
              <w:bottom w:val="single" w:sz="4" w:space="0" w:color="000000"/>
              <w:right w:val="single" w:sz="4" w:space="0" w:color="000000"/>
            </w:tcBorders>
          </w:tcPr>
          <w:p w14:paraId="0916E8DE" w14:textId="77777777" w:rsidR="009A35ED" w:rsidRDefault="00000000">
            <w:pPr>
              <w:tabs>
                <w:tab w:val="left" w:pos="851"/>
              </w:tabs>
              <w:jc w:val="center"/>
              <w:rPr>
                <w:rFonts w:ascii="Times New Roman" w:hAnsi="Times New Roman"/>
                <w:sz w:val="22"/>
              </w:rPr>
            </w:pPr>
            <w:r>
              <w:rPr>
                <w:rFonts w:ascii="Times New Roman" w:hAnsi="Times New Roman"/>
                <w:sz w:val="22"/>
              </w:rPr>
              <w:t>-</w:t>
            </w:r>
          </w:p>
        </w:tc>
      </w:tr>
    </w:tbl>
    <w:p w14:paraId="6F4F3A86" w14:textId="77777777" w:rsidR="009A35ED" w:rsidRDefault="00000000">
      <w:pPr>
        <w:tabs>
          <w:tab w:val="left" w:pos="851"/>
        </w:tabs>
        <w:jc w:val="both"/>
        <w:rPr>
          <w:rFonts w:ascii="Times New Roman" w:hAnsi="Times New Roman"/>
          <w:b/>
        </w:rPr>
      </w:pPr>
      <w:bookmarkStart w:id="8" w:name="_Hlk211425207"/>
      <w:bookmarkEnd w:id="7"/>
      <w:bookmarkEnd w:id="8"/>
      <w:r>
        <w:rPr>
          <w:rFonts w:ascii="Times New Roman" w:hAnsi="Times New Roman"/>
          <w:b/>
        </w:rPr>
        <w:t xml:space="preserve"> * All times are in the time zone of the country of the Project partner </w:t>
      </w:r>
    </w:p>
    <w:p w14:paraId="4D850AB5" w14:textId="77777777" w:rsidR="009A35ED" w:rsidRDefault="00000000">
      <w:pPr>
        <w:tabs>
          <w:tab w:val="left" w:pos="851"/>
        </w:tabs>
        <w:jc w:val="both"/>
        <w:rPr>
          <w:rFonts w:ascii="Times New Roman" w:hAnsi="Times New Roman"/>
          <w:b/>
        </w:rPr>
      </w:pPr>
      <w:r>
        <w:rPr>
          <w:rFonts w:ascii="Times New Roman" w:hAnsi="Times New Roman"/>
          <w:b/>
        </w:rPr>
        <w:t>**Provisional date</w:t>
      </w:r>
    </w:p>
    <w:p w14:paraId="03F8AE7B" w14:textId="77777777" w:rsidR="009A35ED" w:rsidRDefault="00000000">
      <w:pPr>
        <w:pStyle w:val="Naslov1"/>
        <w:numPr>
          <w:ilvl w:val="0"/>
          <w:numId w:val="2"/>
        </w:numPr>
      </w:pPr>
      <w:bookmarkStart w:id="9" w:name="_Toc42488072"/>
      <w:r>
        <w:lastRenderedPageBreak/>
        <w:t>Participation</w:t>
      </w:r>
      <w:bookmarkEnd w:id="9"/>
    </w:p>
    <w:p w14:paraId="764A474C" w14:textId="77777777" w:rsidR="009A35ED" w:rsidRDefault="00000000">
      <w:pPr>
        <w:pStyle w:val="Blockquote"/>
        <w:ind w:left="709" w:right="1" w:hanging="567"/>
        <w:jc w:val="both"/>
        <w:rPr>
          <w:rFonts w:ascii="Times New Roman" w:hAnsi="Times New Roman"/>
          <w:sz w:val="22"/>
          <w:szCs w:val="22"/>
          <w:lang w:val="en-GB"/>
        </w:rPr>
      </w:pPr>
      <w:r>
        <w:rPr>
          <w:sz w:val="22"/>
          <w:szCs w:val="22"/>
          <w:lang w:val="en-GB"/>
        </w:rPr>
        <w:t>3.1</w:t>
      </w:r>
      <w:r>
        <w:rPr>
          <w:sz w:val="22"/>
          <w:szCs w:val="22"/>
          <w:lang w:val="en-GB"/>
        </w:rPr>
        <w:tab/>
      </w:r>
      <w:r>
        <w:rPr>
          <w:rFonts w:ascii="Times New Roman" w:hAnsi="Times New Roman"/>
          <w:sz w:val="22"/>
          <w:szCs w:val="22"/>
          <w:lang w:val="en-GB"/>
        </w:rPr>
        <w:t xml:space="preserve">Participation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 </w:t>
      </w:r>
    </w:p>
    <w:p w14:paraId="1A9E2BAB" w14:textId="77777777" w:rsidR="009A35ED" w:rsidRDefault="00000000">
      <w:pPr>
        <w:pStyle w:val="Naslov2"/>
        <w:keepNext w:val="0"/>
        <w:tabs>
          <w:tab w:val="left" w:pos="709"/>
        </w:tabs>
        <w:ind w:left="567" w:hanging="567"/>
        <w:jc w:val="both"/>
        <w:rPr>
          <w:rFonts w:ascii="Times New Roman" w:hAnsi="Times New Roman"/>
          <w:sz w:val="22"/>
          <w:lang w:val="en-GB"/>
        </w:rPr>
      </w:pPr>
      <w:r>
        <w:rPr>
          <w:sz w:val="22"/>
          <w:lang w:val="en-GB"/>
        </w:rPr>
        <w:t>3.2</w:t>
      </w:r>
      <w:r>
        <w:rPr>
          <w:sz w:val="22"/>
          <w:lang w:val="en-GB"/>
        </w:rPr>
        <w:tab/>
      </w:r>
      <w:r>
        <w:rPr>
          <w:rFonts w:ascii="Times New Roman" w:hAnsi="Times New Roman"/>
          <w:sz w:val="22"/>
          <w:lang w:val="en-GB"/>
        </w:rPr>
        <w:t>Natural or legal persons are not entitled to participate in this tender procedure or be awarded a contract if they are in any of the situations mentioned in Sections 2.4.1 (EU restrictive measures</w:t>
      </w:r>
      <w:r>
        <w:rPr>
          <w:rStyle w:val="FootnoteAnchor"/>
          <w:rFonts w:ascii="Times New Roman" w:hAnsi="Times New Roman"/>
          <w:sz w:val="22"/>
          <w:lang w:val="en-GB"/>
        </w:rPr>
        <w:footnoteReference w:id="2"/>
      </w:r>
      <w:r>
        <w:rPr>
          <w:rFonts w:ascii="Times New Roman" w:hAnsi="Times New Roman"/>
          <w:sz w:val="22"/>
          <w:lang w:val="en-GB"/>
        </w:rPr>
        <w:t xml:space="preserve">), 2.4.2.1 (exclusion criteria) or 2.4.2.2(rejection from a procedure) of the practical </w:t>
      </w:r>
      <w:proofErr w:type="gramStart"/>
      <w:r>
        <w:rPr>
          <w:rFonts w:ascii="Times New Roman" w:hAnsi="Times New Roman"/>
          <w:sz w:val="22"/>
          <w:lang w:val="en-GB"/>
        </w:rPr>
        <w:t>guide</w:t>
      </w:r>
      <w:proofErr w:type="gramEnd"/>
      <w:r>
        <w:rPr>
          <w:rFonts w:ascii="Times New Roman" w:hAnsi="Times New Roman"/>
          <w:sz w:val="22"/>
          <w:lang w:val="en-GB"/>
        </w:rPr>
        <w:t xml:space="preserve">. Should they do so, their tender will be considered unsuitable or irregular respectively. </w:t>
      </w:r>
      <w:r>
        <w:rPr>
          <w:rFonts w:ascii="Times New Roman" w:hAnsi="Times New Roman"/>
          <w:sz w:val="22"/>
          <w:szCs w:val="22"/>
          <w:lang w:val="en-GB"/>
        </w:rPr>
        <w:t>In the cases listed in Section 2.4.2.1 of the practical guide tenderers may also be excluded from EU financed procedures and/or be subject to financial penalties up to 10</w:t>
      </w:r>
      <w:r>
        <w:rPr>
          <w:rFonts w:ascii="Times New Roman" w:hAnsi="Times New Roman"/>
          <w:w w:val="50"/>
          <w:sz w:val="22"/>
          <w:szCs w:val="22"/>
          <w:lang w:val="en-GB"/>
        </w:rPr>
        <w:t> </w:t>
      </w:r>
      <w:r>
        <w:rPr>
          <w:rFonts w:ascii="Times New Roman" w:hAnsi="Times New Roman"/>
          <w:sz w:val="22"/>
          <w:szCs w:val="22"/>
          <w:lang w:val="en-GB"/>
        </w:rPr>
        <w:t>% of the total value of the contract in</w:t>
      </w:r>
      <w:r>
        <w:rPr>
          <w:rFonts w:ascii="Times New Roman" w:hAnsi="Times New Roman"/>
          <w:b/>
          <w:sz w:val="22"/>
          <w:szCs w:val="22"/>
          <w:lang w:val="en-GB"/>
        </w:rPr>
        <w:t xml:space="preserve"> </w:t>
      </w:r>
      <w:r>
        <w:rPr>
          <w:rFonts w:ascii="Times New Roman" w:hAnsi="Times New Roman"/>
          <w:sz w:val="22"/>
          <w:szCs w:val="22"/>
          <w:lang w:val="en-GB"/>
        </w:rPr>
        <w:t>accordance with the Financial Regulation in force. This information may be published on the Commission website in accordance with the Financial Regulation in force.</w:t>
      </w:r>
      <w:r>
        <w:rPr>
          <w:sz w:val="22"/>
          <w:szCs w:val="22"/>
          <w:lang w:val="en-GB"/>
        </w:rPr>
        <w:t xml:space="preserve"> </w:t>
      </w:r>
      <w:r>
        <w:rPr>
          <w:rFonts w:ascii="Times New Roman" w:hAnsi="Times New Roman"/>
          <w:sz w:val="22"/>
          <w:lang w:val="en-GB"/>
        </w:rPr>
        <w:t>Tenderers must provide declarations on honour</w:t>
      </w:r>
      <w:r>
        <w:rPr>
          <w:rStyle w:val="FootnoteAnchor"/>
          <w:rFonts w:ascii="Times New Roman" w:hAnsi="Times New Roman"/>
          <w:sz w:val="22"/>
          <w:lang w:val="en-GB"/>
        </w:rPr>
        <w:footnoteReference w:id="3"/>
      </w:r>
      <w:r>
        <w:rPr>
          <w:rFonts w:ascii="Times New Roman" w:hAnsi="Times New Roman"/>
          <w:sz w:val="22"/>
          <w:lang w:val="en-GB"/>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14:paraId="40FDF8BE" w14:textId="77777777" w:rsidR="009A35ED" w:rsidRDefault="009A35ED">
      <w:pPr>
        <w:pStyle w:val="PRAGHeading2"/>
        <w:ind w:left="567" w:hanging="567"/>
        <w:jc w:val="both"/>
        <w:rPr>
          <w:lang w:val="en-GB"/>
        </w:rPr>
      </w:pPr>
    </w:p>
    <w:p w14:paraId="6A3C5EA6"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3.3</w:t>
      </w:r>
      <w:r>
        <w:rPr>
          <w:rFonts w:ascii="Times New Roman" w:hAnsi="Times New Roman"/>
          <w:sz w:val="22"/>
          <w:lang w:val="en-GB"/>
        </w:rPr>
        <w:tab/>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 Authority-Project partner may accept other satisfactory evidence that these conditions are met.</w:t>
      </w:r>
    </w:p>
    <w:p w14:paraId="2907E70A" w14:textId="77777777" w:rsidR="009A35ED" w:rsidRDefault="00000000">
      <w:pPr>
        <w:pStyle w:val="Naslov2"/>
        <w:keepNext w:val="0"/>
        <w:tabs>
          <w:tab w:val="left" w:pos="709"/>
        </w:tabs>
        <w:ind w:left="567" w:hanging="567"/>
        <w:jc w:val="both"/>
        <w:rPr>
          <w:rFonts w:ascii="Times New Roman" w:hAnsi="Times New Roman"/>
          <w:sz w:val="22"/>
          <w:lang w:val="en-GB"/>
        </w:rPr>
      </w:pPr>
      <w:r>
        <w:rPr>
          <w:rFonts w:ascii="Times New Roman" w:hAnsi="Times New Roman"/>
          <w:sz w:val="22"/>
          <w:lang w:val="en-GB"/>
        </w:rPr>
        <w:t>3.4</w:t>
      </w:r>
      <w:r>
        <w:rPr>
          <w:rFonts w:ascii="Times New Roman" w:hAnsi="Times New Roman"/>
          <w:sz w:val="22"/>
          <w:lang w:val="en-GB"/>
        </w:rPr>
        <w:tab/>
      </w:r>
      <w:r>
        <w:rPr>
          <w:rFonts w:ascii="Times New Roman" w:hAnsi="Times New Roman"/>
          <w:sz w:val="22"/>
          <w:szCs w:val="22"/>
          <w:lang w:val="en-GB"/>
        </w:rPr>
        <w:t>In the cases listed in Declaration on honour on exclusion criteria and selection criteria tenderers may be excluded from the procedure.</w:t>
      </w:r>
    </w:p>
    <w:p w14:paraId="2F373137" w14:textId="77777777" w:rsidR="009A35ED" w:rsidRDefault="00000000">
      <w:pPr>
        <w:pStyle w:val="Naslov2"/>
        <w:keepNext w:val="0"/>
        <w:tabs>
          <w:tab w:val="left" w:pos="709"/>
        </w:tabs>
        <w:ind w:left="567"/>
        <w:jc w:val="both"/>
        <w:rPr>
          <w:rFonts w:ascii="Times New Roman" w:hAnsi="Times New Roman"/>
          <w:sz w:val="22"/>
          <w:szCs w:val="22"/>
          <w:lang w:val="en-GB"/>
        </w:rPr>
      </w:pPr>
      <w:r>
        <w:rPr>
          <w:rFonts w:ascii="Times New Roman" w:hAnsi="Times New Roman"/>
          <w:sz w:val="22"/>
          <w:lang w:val="en-GB"/>
        </w:rPr>
        <w:t>The exclusion situations referred to above also apply to all members of a joint venture/consortium, all subcontractors and all suppliers to tenderers, as well as to all entities upon whose capacity the tenderer relies for the selection criteria. When requested</w:t>
      </w:r>
      <w:r>
        <w:rPr>
          <w:rFonts w:ascii="Times New Roman" w:hAnsi="Times New Roman"/>
          <w:sz w:val="22"/>
          <w:szCs w:val="22"/>
          <w:lang w:val="en-GB"/>
        </w:rPr>
        <w:t xml:space="preserve"> by the Project partner, tenderers/contractors must submit declarations from the intended subcontractors that they are not in any of the exclusion situations. In cases of doubt over declarations, the Project partner will request documentary evidence that subcontractors are not in a situation that excludes them.</w:t>
      </w:r>
    </w:p>
    <w:p w14:paraId="7367E8DD" w14:textId="77777777" w:rsidR="009A35ED" w:rsidRDefault="00000000">
      <w:pPr>
        <w:pStyle w:val="Naslov2"/>
        <w:keepNext w:val="0"/>
        <w:tabs>
          <w:tab w:val="left" w:pos="709"/>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3.5</w:t>
      </w:r>
      <w:r>
        <w:rPr>
          <w:rFonts w:ascii="Times New Roman" w:hAnsi="Times New Roman"/>
          <w:sz w:val="22"/>
          <w:szCs w:val="22"/>
          <w:lang w:val="en-GB"/>
        </w:rPr>
        <w:tab/>
        <w:t>To be eligible to take part in this tender procedure, tenderers must prove to the satisfaction of the Project partner that they comply with the necessary legal, technical and financial requirements and have the means to carry out the contract effectively.</w:t>
      </w:r>
    </w:p>
    <w:p w14:paraId="745D56F9" w14:textId="77777777" w:rsidR="009A35ED" w:rsidRDefault="00000000">
      <w:pPr>
        <w:pStyle w:val="Naslov2"/>
        <w:keepNext w:val="0"/>
        <w:tabs>
          <w:tab w:val="left"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lastRenderedPageBreak/>
        <w:t>3.6</w:t>
      </w:r>
      <w:r>
        <w:rPr>
          <w:rFonts w:ascii="Times New Roman" w:hAnsi="Times New Roman"/>
          <w:sz w:val="22"/>
          <w:szCs w:val="22"/>
          <w:lang w:val="en-GB"/>
        </w:rPr>
        <w:tab/>
        <w:t>Where tenders include subcontracting, it is recommended that the contractual arrangements between tenderers and their subcontractors include mediation, according to national and international practices, as a method of dispute resolution.</w:t>
      </w:r>
    </w:p>
    <w:p w14:paraId="3BDE95DA" w14:textId="77777777" w:rsidR="009A35ED" w:rsidRDefault="00000000">
      <w:pPr>
        <w:pStyle w:val="Naslov1"/>
        <w:numPr>
          <w:ilvl w:val="0"/>
          <w:numId w:val="2"/>
        </w:numPr>
      </w:pPr>
      <w:bookmarkStart w:id="10" w:name="_Toc42488073"/>
      <w:r>
        <w:t>Origin</w:t>
      </w:r>
      <w:bookmarkEnd w:id="10"/>
    </w:p>
    <w:p w14:paraId="6527AEB9" w14:textId="77777777" w:rsidR="009A35ED" w:rsidRDefault="00000000">
      <w:pPr>
        <w:pStyle w:val="Naslov2"/>
        <w:keepNext w:val="0"/>
        <w:numPr>
          <w:ilvl w:val="1"/>
          <w:numId w:val="2"/>
        </w:numPr>
        <w:jc w:val="both"/>
        <w:rPr>
          <w:rFonts w:ascii="Times New Roman" w:hAnsi="Times New Roman"/>
          <w:sz w:val="22"/>
          <w:szCs w:val="22"/>
          <w:lang w:val="en-GB"/>
        </w:rPr>
      </w:pPr>
      <w:r>
        <w:rPr>
          <w:rFonts w:ascii="Times New Roman" w:hAnsi="Times New Roman"/>
          <w:sz w:val="22"/>
          <w:szCs w:val="22"/>
          <w:lang w:val="en-GB"/>
        </w:rPr>
        <w:t xml:space="preserve">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 </w:t>
      </w:r>
      <w:r>
        <w:rPr>
          <w:rFonts w:ascii="Times New Roman" w:hAnsi="Times New Roman"/>
          <w:sz w:val="22"/>
          <w:szCs w:val="22"/>
        </w:rPr>
        <w:t xml:space="preserve">As the Bosnia and Herzegovina national rules do not contain any restrictions as regards the rules of origin, all goods can originate from any country, irrespective of any thresholds. </w:t>
      </w:r>
      <w:r>
        <w:rPr>
          <w:rFonts w:ascii="Times New Roman" w:hAnsi="Times New Roman"/>
          <w:sz w:val="22"/>
          <w:szCs w:val="22"/>
          <w:lang w:val="en-GB"/>
        </w:rPr>
        <w:t xml:space="preserve">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w:t>
      </w:r>
      <w:proofErr w:type="gramStart"/>
      <w:r>
        <w:rPr>
          <w:rFonts w:ascii="Times New Roman" w:hAnsi="Times New Roman"/>
          <w:sz w:val="22"/>
          <w:szCs w:val="22"/>
          <w:lang w:val="en-GB"/>
        </w:rPr>
        <w:t>Articles</w:t>
      </w:r>
      <w:proofErr w:type="gramEnd"/>
      <w:r>
        <w:rPr>
          <w:rFonts w:ascii="Times New Roman" w:hAnsi="Times New Roman"/>
          <w:sz w:val="22"/>
          <w:szCs w:val="22"/>
          <w:lang w:val="en-GB"/>
        </w:rPr>
        <w:t xml:space="preserve"> 22 to 246 thereof, and the Code's implementing provisions (Commission Regulation (EEC) No 2454/93.</w:t>
      </w:r>
    </w:p>
    <w:p w14:paraId="3E66E9F1" w14:textId="77777777" w:rsidR="009A35ED" w:rsidRDefault="00000000">
      <w:pPr>
        <w:pStyle w:val="Naslov1"/>
        <w:numPr>
          <w:ilvl w:val="0"/>
          <w:numId w:val="2"/>
        </w:numPr>
      </w:pPr>
      <w:bookmarkStart w:id="11" w:name="_Toc42488074"/>
      <w:r>
        <w:t>Type of contract</w:t>
      </w:r>
      <w:bookmarkEnd w:id="11"/>
    </w:p>
    <w:p w14:paraId="0D298A43" w14:textId="77777777" w:rsidR="009A35ED" w:rsidRDefault="00000000">
      <w:pPr>
        <w:pStyle w:val="Naslov2"/>
        <w:keepNext w:val="0"/>
        <w:jc w:val="both"/>
        <w:rPr>
          <w:rFonts w:ascii="Times New Roman" w:hAnsi="Times New Roman"/>
          <w:sz w:val="22"/>
          <w:lang w:val="en-GB"/>
        </w:rPr>
      </w:pPr>
      <w:r>
        <w:rPr>
          <w:rFonts w:ascii="Times New Roman" w:hAnsi="Times New Roman"/>
          <w:sz w:val="22"/>
          <w:lang w:val="en-GB"/>
        </w:rPr>
        <w:t>unit-price</w:t>
      </w:r>
    </w:p>
    <w:p w14:paraId="0DA9D94D" w14:textId="77777777" w:rsidR="009A35ED" w:rsidRDefault="00000000">
      <w:pPr>
        <w:pStyle w:val="Naslov1"/>
        <w:numPr>
          <w:ilvl w:val="0"/>
          <w:numId w:val="2"/>
        </w:numPr>
      </w:pPr>
      <w:bookmarkStart w:id="12" w:name="_Toc42488075"/>
      <w:r>
        <w:t>Currency</w:t>
      </w:r>
      <w:bookmarkEnd w:id="12"/>
    </w:p>
    <w:p w14:paraId="480211D9" w14:textId="77777777" w:rsidR="009A35ED" w:rsidRDefault="00000000">
      <w:pPr>
        <w:pStyle w:val="Naslov2"/>
        <w:keepNext w:val="0"/>
        <w:jc w:val="both"/>
        <w:rPr>
          <w:rFonts w:ascii="Times New Roman" w:hAnsi="Times New Roman"/>
          <w:bCs/>
          <w:color w:val="FF0000"/>
          <w:sz w:val="22"/>
          <w:szCs w:val="22"/>
          <w:lang w:val="en-GB"/>
        </w:rPr>
      </w:pPr>
      <w:r>
        <w:rPr>
          <w:rFonts w:ascii="Times New Roman" w:hAnsi="Times New Roman"/>
          <w:sz w:val="22"/>
          <w:szCs w:val="22"/>
          <w:lang w:val="en-GB"/>
        </w:rPr>
        <w:t xml:space="preserve">Tenders must be presented in </w:t>
      </w:r>
      <w:r>
        <w:rPr>
          <w:rFonts w:ascii="Times New Roman" w:hAnsi="Times New Roman"/>
          <w:bCs/>
          <w:sz w:val="22"/>
          <w:szCs w:val="22"/>
          <w:lang w:val="en-GB"/>
        </w:rPr>
        <w:t>Euro</w:t>
      </w:r>
      <w:r>
        <w:rPr>
          <w:rStyle w:val="FootnoteAnchor"/>
          <w:rFonts w:ascii="Times New Roman" w:hAnsi="Times New Roman"/>
          <w:bCs/>
          <w:sz w:val="22"/>
          <w:szCs w:val="22"/>
          <w:lang w:val="en-GB"/>
        </w:rPr>
        <w:footnoteReference w:id="4"/>
      </w:r>
      <w:r>
        <w:rPr>
          <w:rFonts w:ascii="Times New Roman" w:hAnsi="Times New Roman"/>
          <w:bCs/>
          <w:sz w:val="22"/>
          <w:szCs w:val="22"/>
          <w:lang w:val="en-GB"/>
        </w:rPr>
        <w:t xml:space="preserve">. </w:t>
      </w:r>
    </w:p>
    <w:p w14:paraId="1273987D" w14:textId="77777777" w:rsidR="009A35ED" w:rsidRDefault="00000000">
      <w:pPr>
        <w:pStyle w:val="Naslov1"/>
        <w:numPr>
          <w:ilvl w:val="0"/>
          <w:numId w:val="2"/>
        </w:numPr>
      </w:pPr>
      <w:bookmarkStart w:id="13" w:name="_Toc42488076"/>
      <w:r>
        <w:t>Lots</w:t>
      </w:r>
      <w:bookmarkEnd w:id="13"/>
    </w:p>
    <w:p w14:paraId="77ADA10A" w14:textId="77777777" w:rsidR="009A35ED" w:rsidRDefault="00000000">
      <w:pPr>
        <w:ind w:left="567"/>
        <w:jc w:val="both"/>
        <w:rPr>
          <w:rFonts w:ascii="Times New Roman" w:hAnsi="Times New Roman"/>
          <w:sz w:val="22"/>
        </w:rPr>
      </w:pPr>
      <w:r>
        <w:rPr>
          <w:rFonts w:ascii="Times New Roman" w:hAnsi="Times New Roman"/>
          <w:sz w:val="22"/>
        </w:rPr>
        <w:t>This tender procedure is not divided into lots.</w:t>
      </w:r>
    </w:p>
    <w:p w14:paraId="5B07EE39" w14:textId="77777777" w:rsidR="009A35ED" w:rsidRDefault="00000000">
      <w:pPr>
        <w:pStyle w:val="Naslov1"/>
        <w:numPr>
          <w:ilvl w:val="0"/>
          <w:numId w:val="2"/>
        </w:numPr>
      </w:pPr>
      <w:bookmarkStart w:id="14" w:name="_Toc42488077"/>
      <w:r>
        <w:t>Period of validity</w:t>
      </w:r>
      <w:bookmarkEnd w:id="14"/>
    </w:p>
    <w:p w14:paraId="5A4AE8A2" w14:textId="77777777" w:rsidR="009A35ED" w:rsidRDefault="00000000">
      <w:pPr>
        <w:pStyle w:val="Naslov2"/>
        <w:keepNext w:val="0"/>
        <w:tabs>
          <w:tab w:val="left" w:pos="567"/>
        </w:tabs>
        <w:ind w:left="567" w:hanging="567"/>
        <w:jc w:val="both"/>
        <w:rPr>
          <w:rFonts w:ascii="Times New Roman" w:hAnsi="Times New Roman"/>
          <w:sz w:val="22"/>
          <w:lang w:val="en-GB"/>
        </w:rPr>
      </w:pPr>
      <w:r>
        <w:rPr>
          <w:rFonts w:ascii="Times New Roman" w:hAnsi="Times New Roman"/>
          <w:sz w:val="22"/>
          <w:lang w:val="en-GB"/>
        </w:rPr>
        <w:t>8.1</w:t>
      </w:r>
      <w:r>
        <w:rPr>
          <w:rFonts w:ascii="Times New Roman" w:hAnsi="Times New Roman"/>
          <w:sz w:val="22"/>
          <w:lang w:val="en-GB"/>
        </w:rPr>
        <w:tab/>
        <w:t>Tenderers will be bound by their tenders for a period of 90 days from the deadline for the submission of tenders.</w:t>
      </w:r>
    </w:p>
    <w:p w14:paraId="06CB6639" w14:textId="77777777" w:rsidR="009A35ED" w:rsidRDefault="00000000">
      <w:pPr>
        <w:pStyle w:val="Naslov2"/>
        <w:keepNext w:val="0"/>
        <w:tabs>
          <w:tab w:val="left" w:pos="567"/>
        </w:tabs>
        <w:ind w:left="567" w:hanging="567"/>
        <w:jc w:val="both"/>
        <w:rPr>
          <w:rFonts w:ascii="Times New Roman" w:hAnsi="Times New Roman"/>
          <w:sz w:val="22"/>
          <w:lang w:val="en-GB"/>
        </w:rPr>
      </w:pPr>
      <w:r>
        <w:rPr>
          <w:rFonts w:ascii="Times New Roman" w:hAnsi="Times New Roman"/>
          <w:sz w:val="22"/>
          <w:lang w:val="en-GB"/>
        </w:rPr>
        <w:t>8.2</w:t>
      </w:r>
      <w:r>
        <w:rPr>
          <w:rFonts w:ascii="Times New Roman" w:hAnsi="Times New Roman"/>
          <w:sz w:val="22"/>
          <w:lang w:val="en-GB"/>
        </w:rPr>
        <w:tab/>
        <w:t xml:space="preserve">In exceptional cases and prior to the expiry of the original tender validity period, the Project partner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w:t>
      </w:r>
    </w:p>
    <w:p w14:paraId="441D443E" w14:textId="77777777" w:rsidR="009A35ED" w:rsidRDefault="00000000">
      <w:pPr>
        <w:tabs>
          <w:tab w:val="left" w:pos="567"/>
        </w:tabs>
        <w:ind w:left="567" w:hanging="567"/>
        <w:jc w:val="both"/>
        <w:rPr>
          <w:rFonts w:ascii="Times New Roman" w:hAnsi="Times New Roman"/>
        </w:rPr>
      </w:pPr>
      <w:r>
        <w:rPr>
          <w:rFonts w:ascii="Times New Roman" w:hAnsi="Times New Roman"/>
          <w:sz w:val="22"/>
          <w:szCs w:val="22"/>
        </w:rPr>
        <w:t>8.3</w:t>
      </w:r>
      <w:r>
        <w:rPr>
          <w:rFonts w:ascii="Times New Roman" w:hAnsi="Times New Roman"/>
          <w:sz w:val="22"/>
          <w:szCs w:val="22"/>
        </w:rPr>
        <w:tab/>
        <w:t>The successful tenderer will be bound by its tender for a further period of 60 days. The further period is added to</w:t>
      </w:r>
      <w:r>
        <w:rPr>
          <w:rFonts w:ascii="Times New Roman" w:hAnsi="Times New Roman"/>
          <w:sz w:val="22"/>
        </w:rPr>
        <w:t xml:space="preserve"> the validity period of</w:t>
      </w:r>
      <w:r>
        <w:rPr>
          <w:rFonts w:ascii="Times New Roman" w:hAnsi="Times New Roman"/>
          <w:sz w:val="22"/>
          <w:szCs w:val="22"/>
        </w:rPr>
        <w:t xml:space="preserve"> the tender</w:t>
      </w:r>
      <w:r>
        <w:rPr>
          <w:rFonts w:ascii="Times New Roman" w:hAnsi="Times New Roman"/>
          <w:sz w:val="22"/>
        </w:rPr>
        <w:t xml:space="preserve"> irrespective of the date of notification.</w:t>
      </w:r>
    </w:p>
    <w:p w14:paraId="31CFC675" w14:textId="77777777" w:rsidR="009A35ED" w:rsidRDefault="00000000">
      <w:pPr>
        <w:pStyle w:val="Naslov1"/>
        <w:numPr>
          <w:ilvl w:val="0"/>
          <w:numId w:val="2"/>
        </w:numPr>
      </w:pPr>
      <w:bookmarkStart w:id="15" w:name="_Toc42488078"/>
      <w:r>
        <w:lastRenderedPageBreak/>
        <w:t xml:space="preserve">Language of </w:t>
      </w:r>
      <w:bookmarkEnd w:id="15"/>
      <w:r>
        <w:t>tenders</w:t>
      </w:r>
      <w:bookmarkStart w:id="16" w:name="_Ref500330462"/>
      <w:bookmarkEnd w:id="16"/>
    </w:p>
    <w:p w14:paraId="0AFD385F" w14:textId="77777777" w:rsidR="009A35ED" w:rsidRDefault="00000000">
      <w:pPr>
        <w:pStyle w:val="Naslov2"/>
        <w:keepNext w:val="0"/>
        <w:numPr>
          <w:ilvl w:val="1"/>
          <w:numId w:val="2"/>
        </w:numPr>
        <w:jc w:val="both"/>
        <w:rPr>
          <w:rFonts w:ascii="Times New Roman" w:hAnsi="Times New Roman"/>
          <w:sz w:val="22"/>
          <w:lang w:val="en-GB"/>
        </w:rPr>
      </w:pPr>
      <w:r>
        <w:rPr>
          <w:rFonts w:ascii="Times New Roman" w:hAnsi="Times New Roman"/>
          <w:sz w:val="22"/>
          <w:lang w:val="en-GB"/>
        </w:rPr>
        <w:t>The tenders, all correspondence and documents related to the tender exchanged by the tenderer and the Project partner must be written in the language of the procedure, which is English language and Latin letter only.</w:t>
      </w:r>
    </w:p>
    <w:p w14:paraId="2F683B07" w14:textId="77777777" w:rsidR="009A35ED" w:rsidRDefault="00000000">
      <w:pPr>
        <w:pStyle w:val="Odlomakpopisa"/>
        <w:numPr>
          <w:ilvl w:val="1"/>
          <w:numId w:val="2"/>
        </w:numPr>
        <w:jc w:val="both"/>
      </w:pPr>
      <w:r>
        <w:rPr>
          <w:rFonts w:ascii="Times New Roman" w:hAnsi="Times New Roman"/>
        </w:rPr>
        <w:t>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14:paraId="4CAD3CF4" w14:textId="77777777" w:rsidR="009A35ED" w:rsidRDefault="00000000">
      <w:pPr>
        <w:pStyle w:val="Naslov1"/>
        <w:numPr>
          <w:ilvl w:val="0"/>
          <w:numId w:val="2"/>
        </w:numPr>
      </w:pPr>
      <w:bookmarkStart w:id="17" w:name="_Toc42488079"/>
      <w:r>
        <w:t>Submission of tenders</w:t>
      </w:r>
      <w:bookmarkEnd w:id="17"/>
    </w:p>
    <w:p w14:paraId="2D084C6F"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10.1</w:t>
      </w:r>
      <w:r>
        <w:rPr>
          <w:rFonts w:ascii="Times New Roman" w:hAnsi="Times New Roman"/>
          <w:sz w:val="22"/>
          <w:lang w:val="en-GB"/>
        </w:rPr>
        <w:tab/>
        <w:t>The Contracting authority must receive the tenders before the deadline specified in 10.3. They must include all the documents specified in point 11 of these Instructions and be sent to the following address:</w:t>
      </w:r>
      <w:bookmarkStart w:id="18" w:name="_Ref500326737"/>
      <w:bookmarkEnd w:id="18"/>
    </w:p>
    <w:p w14:paraId="32691877" w14:textId="2C01614E" w:rsidR="009A35ED" w:rsidRDefault="00000000">
      <w:pPr>
        <w:ind w:left="567"/>
        <w:jc w:val="both"/>
        <w:rPr>
          <w:rFonts w:ascii="Times New Roman" w:hAnsi="Times New Roman"/>
          <w:sz w:val="22"/>
        </w:rPr>
      </w:pPr>
      <w:r>
        <w:rPr>
          <w:rFonts w:ascii="Times New Roman" w:hAnsi="Times New Roman"/>
          <w:sz w:val="22"/>
        </w:rPr>
        <w:t>UC</w:t>
      </w:r>
      <w:r w:rsidR="005553F4">
        <w:rPr>
          <w:rFonts w:ascii="Times New Roman" w:hAnsi="Times New Roman"/>
          <w:sz w:val="22"/>
        </w:rPr>
        <w:t>H</w:t>
      </w:r>
      <w:r>
        <w:rPr>
          <w:rFonts w:ascii="Times New Roman" w:hAnsi="Times New Roman"/>
          <w:sz w:val="22"/>
        </w:rPr>
        <w:t xml:space="preserve"> Mostar/SKB Mostar, </w:t>
      </w:r>
      <w:proofErr w:type="spellStart"/>
      <w:proofErr w:type="gramStart"/>
      <w:r>
        <w:rPr>
          <w:rFonts w:ascii="Times New Roman" w:hAnsi="Times New Roman"/>
          <w:sz w:val="22"/>
        </w:rPr>
        <w:t>Kralja</w:t>
      </w:r>
      <w:proofErr w:type="spellEnd"/>
      <w:r>
        <w:rPr>
          <w:rFonts w:ascii="Times New Roman" w:hAnsi="Times New Roman"/>
          <w:sz w:val="22"/>
        </w:rPr>
        <w:t xml:space="preserve">  </w:t>
      </w:r>
      <w:proofErr w:type="spellStart"/>
      <w:r>
        <w:rPr>
          <w:rFonts w:ascii="Times New Roman" w:hAnsi="Times New Roman"/>
          <w:sz w:val="22"/>
        </w:rPr>
        <w:t>Tvrtka</w:t>
      </w:r>
      <w:proofErr w:type="spellEnd"/>
      <w:proofErr w:type="gramEnd"/>
      <w:r>
        <w:rPr>
          <w:rFonts w:ascii="Times New Roman" w:hAnsi="Times New Roman"/>
          <w:sz w:val="22"/>
        </w:rPr>
        <w:t xml:space="preserve"> bb, 88000 Mostar</w:t>
      </w:r>
    </w:p>
    <w:p w14:paraId="04DC546B" w14:textId="77777777" w:rsidR="009A35ED" w:rsidRDefault="00000000">
      <w:pPr>
        <w:ind w:left="567"/>
        <w:jc w:val="both"/>
        <w:rPr>
          <w:rFonts w:ascii="Times New Roman" w:hAnsi="Times New Roman"/>
          <w:sz w:val="22"/>
        </w:rPr>
      </w:pPr>
      <w:r>
        <w:rPr>
          <w:rFonts w:ascii="Times New Roman" w:hAnsi="Times New Roman"/>
          <w:sz w:val="22"/>
        </w:rPr>
        <w:t xml:space="preserve"> If the tenders are hand </w:t>
      </w:r>
      <w:proofErr w:type="gramStart"/>
      <w:r>
        <w:rPr>
          <w:rFonts w:ascii="Times New Roman" w:hAnsi="Times New Roman"/>
          <w:sz w:val="22"/>
        </w:rPr>
        <w:t>delivered</w:t>
      </w:r>
      <w:proofErr w:type="gramEnd"/>
      <w:r>
        <w:rPr>
          <w:rFonts w:ascii="Times New Roman" w:hAnsi="Times New Roman"/>
          <w:sz w:val="22"/>
        </w:rPr>
        <w:t xml:space="preserve"> they should be delivered to the following address:</w:t>
      </w:r>
    </w:p>
    <w:p w14:paraId="139F2F6B" w14:textId="4BFEBA36" w:rsidR="009A35ED" w:rsidRDefault="00000000">
      <w:pPr>
        <w:ind w:left="567"/>
        <w:jc w:val="both"/>
        <w:outlineLvl w:val="0"/>
        <w:rPr>
          <w:rFonts w:ascii="Times New Roman" w:hAnsi="Times New Roman"/>
          <w:sz w:val="22"/>
        </w:rPr>
      </w:pPr>
      <w:r>
        <w:rPr>
          <w:rFonts w:ascii="Times New Roman" w:hAnsi="Times New Roman"/>
          <w:sz w:val="22"/>
        </w:rPr>
        <w:t>UC</w:t>
      </w:r>
      <w:r w:rsidR="005553F4">
        <w:rPr>
          <w:rFonts w:ascii="Times New Roman" w:hAnsi="Times New Roman"/>
          <w:sz w:val="22"/>
        </w:rPr>
        <w:t>H</w:t>
      </w:r>
      <w:r>
        <w:rPr>
          <w:rFonts w:ascii="Times New Roman" w:hAnsi="Times New Roman"/>
          <w:sz w:val="22"/>
        </w:rPr>
        <w:t xml:space="preserve"> Mostar/SKB Mostar, </w:t>
      </w:r>
      <w:proofErr w:type="spellStart"/>
      <w:proofErr w:type="gramStart"/>
      <w:r>
        <w:rPr>
          <w:rFonts w:ascii="Times New Roman" w:hAnsi="Times New Roman"/>
          <w:sz w:val="22"/>
        </w:rPr>
        <w:t>Kralja</w:t>
      </w:r>
      <w:proofErr w:type="spellEnd"/>
      <w:r>
        <w:rPr>
          <w:rFonts w:ascii="Times New Roman" w:hAnsi="Times New Roman"/>
          <w:sz w:val="22"/>
        </w:rPr>
        <w:t xml:space="preserve">  </w:t>
      </w:r>
      <w:proofErr w:type="spellStart"/>
      <w:r>
        <w:rPr>
          <w:rFonts w:ascii="Times New Roman" w:hAnsi="Times New Roman"/>
          <w:sz w:val="22"/>
        </w:rPr>
        <w:t>Tvrtka</w:t>
      </w:r>
      <w:proofErr w:type="spellEnd"/>
      <w:proofErr w:type="gramEnd"/>
      <w:r>
        <w:rPr>
          <w:rFonts w:ascii="Times New Roman" w:hAnsi="Times New Roman"/>
          <w:sz w:val="22"/>
        </w:rPr>
        <w:t xml:space="preserve"> bb, 88000 Mostar </w:t>
      </w:r>
    </w:p>
    <w:p w14:paraId="5CEAC53B" w14:textId="77777777" w:rsidR="009A35ED" w:rsidRDefault="00000000">
      <w:pPr>
        <w:ind w:left="567"/>
        <w:jc w:val="both"/>
        <w:outlineLvl w:val="0"/>
        <w:rPr>
          <w:rFonts w:ascii="Times New Roman" w:hAnsi="Times New Roman"/>
          <w:sz w:val="22"/>
        </w:rPr>
      </w:pPr>
      <w:r>
        <w:rPr>
          <w:rFonts w:ascii="Times New Roman" w:hAnsi="Times New Roman"/>
          <w:sz w:val="22"/>
        </w:rPr>
        <w:t>Tenders must comply with the following conditions:</w:t>
      </w:r>
    </w:p>
    <w:p w14:paraId="359D4C77" w14:textId="77777777" w:rsidR="009A35ED" w:rsidRDefault="00000000">
      <w:pPr>
        <w:pStyle w:val="Naslov2"/>
        <w:ind w:left="567" w:hanging="567"/>
        <w:jc w:val="both"/>
      </w:pPr>
      <w:r>
        <w:rPr>
          <w:rFonts w:ascii="Times New Roman" w:hAnsi="Times New Roman"/>
          <w:sz w:val="22"/>
          <w:lang w:val="en-GB"/>
        </w:rPr>
        <w:t>10.2</w:t>
      </w:r>
      <w:r>
        <w:rPr>
          <w:rFonts w:ascii="Times New Roman" w:hAnsi="Times New Roman"/>
          <w:sz w:val="22"/>
          <w:lang w:val="en-GB"/>
        </w:rPr>
        <w:tab/>
        <w:t xml:space="preserve">All tenders must be submitted in one original, marked ‘original’, and one (1) copy signed in the same way as the original and marked ‘copy’. Tenders should also </w:t>
      </w:r>
      <w:proofErr w:type="gramStart"/>
      <w:r>
        <w:rPr>
          <w:rFonts w:ascii="Times New Roman" w:hAnsi="Times New Roman"/>
          <w:sz w:val="22"/>
          <w:lang w:val="en-GB"/>
        </w:rPr>
        <w:t>provide  electronic</w:t>
      </w:r>
      <w:proofErr w:type="gramEnd"/>
      <w:r>
        <w:rPr>
          <w:rFonts w:ascii="Times New Roman" w:hAnsi="Times New Roman"/>
          <w:sz w:val="22"/>
          <w:lang w:val="en-GB"/>
        </w:rPr>
        <w:t xml:space="preserve"> copy on USB.</w:t>
      </w:r>
      <w:bookmarkStart w:id="19" w:name="_Ref500330141"/>
      <w:bookmarkEnd w:id="19"/>
    </w:p>
    <w:p w14:paraId="6E8B3783"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10.3</w:t>
      </w:r>
      <w:r>
        <w:rPr>
          <w:rFonts w:ascii="Times New Roman" w:hAnsi="Times New Roman"/>
          <w:sz w:val="22"/>
          <w:lang w:val="en-GB"/>
        </w:rPr>
        <w:tab/>
        <w:t xml:space="preserve">All tenders must be received at University Clinical Hospital Mostar, </w:t>
      </w:r>
      <w:proofErr w:type="spellStart"/>
      <w:r>
        <w:rPr>
          <w:rFonts w:ascii="Times New Roman" w:hAnsi="Times New Roman"/>
          <w:sz w:val="22"/>
          <w:lang w:val="en-GB"/>
        </w:rPr>
        <w:t>Kralja</w:t>
      </w:r>
      <w:proofErr w:type="spellEnd"/>
      <w:r>
        <w:rPr>
          <w:rFonts w:ascii="Times New Roman" w:hAnsi="Times New Roman"/>
          <w:sz w:val="22"/>
          <w:lang w:val="en-GB"/>
        </w:rPr>
        <w:t xml:space="preserve"> </w:t>
      </w:r>
      <w:proofErr w:type="spellStart"/>
      <w:r>
        <w:rPr>
          <w:rFonts w:ascii="Times New Roman" w:hAnsi="Times New Roman"/>
          <w:sz w:val="22"/>
          <w:lang w:val="en-GB"/>
        </w:rPr>
        <w:t>Tvrtka</w:t>
      </w:r>
      <w:proofErr w:type="spellEnd"/>
      <w:r>
        <w:rPr>
          <w:rFonts w:ascii="Times New Roman" w:hAnsi="Times New Roman"/>
          <w:sz w:val="22"/>
          <w:lang w:val="en-GB"/>
        </w:rPr>
        <w:t xml:space="preserve"> bb, 88000 Mostar, before the deadline 12.01.2026. at 10:00 Local Time, by registered letter with acknowledgement of receipt or hand-delivered against receipt signed by the Contracting Authority.</w:t>
      </w:r>
    </w:p>
    <w:p w14:paraId="6DDD84F6" w14:textId="77777777" w:rsidR="009A35ED" w:rsidRDefault="00000000">
      <w:pPr>
        <w:pStyle w:val="Naslov2"/>
        <w:ind w:left="567" w:hanging="567"/>
        <w:rPr>
          <w:rFonts w:ascii="Times New Roman" w:hAnsi="Times New Roman"/>
          <w:sz w:val="22"/>
          <w:lang w:val="en-GB"/>
        </w:rPr>
      </w:pPr>
      <w:r>
        <w:rPr>
          <w:rFonts w:ascii="Times New Roman" w:hAnsi="Times New Roman"/>
          <w:sz w:val="22"/>
          <w:lang w:val="en-GB"/>
        </w:rPr>
        <w:t>10.4</w:t>
      </w:r>
      <w:r>
        <w:rPr>
          <w:rFonts w:ascii="Times New Roman" w:hAnsi="Times New Roman"/>
          <w:sz w:val="22"/>
          <w:lang w:val="en-GB"/>
        </w:rPr>
        <w:tab/>
        <w:t>All tenders, including annexes and all supporting documents, must be submitted in a sealed envelope bearing only:</w:t>
      </w:r>
    </w:p>
    <w:p w14:paraId="6642D29E" w14:textId="77777777" w:rsidR="009A35ED" w:rsidRDefault="00000000">
      <w:pPr>
        <w:tabs>
          <w:tab w:val="left" w:pos="709"/>
          <w:tab w:val="left" w:pos="1134"/>
        </w:tabs>
        <w:ind w:left="567"/>
        <w:rPr>
          <w:rFonts w:ascii="Times New Roman" w:hAnsi="Times New Roman"/>
          <w:sz w:val="22"/>
        </w:rPr>
      </w:pPr>
      <w:r>
        <w:rPr>
          <w:rFonts w:ascii="Times New Roman" w:hAnsi="Times New Roman"/>
          <w:sz w:val="22"/>
        </w:rPr>
        <w:t>a)</w:t>
      </w:r>
      <w:r>
        <w:rPr>
          <w:rFonts w:ascii="Times New Roman" w:hAnsi="Times New Roman"/>
          <w:sz w:val="22"/>
        </w:rPr>
        <w:tab/>
        <w:t xml:space="preserve">the above </w:t>
      </w:r>
      <w:proofErr w:type="gramStart"/>
      <w:r>
        <w:rPr>
          <w:rFonts w:ascii="Times New Roman" w:hAnsi="Times New Roman"/>
          <w:sz w:val="22"/>
        </w:rPr>
        <w:t>address;</w:t>
      </w:r>
      <w:proofErr w:type="gramEnd"/>
    </w:p>
    <w:p w14:paraId="2C96DDFA" w14:textId="4A70B7C9" w:rsidR="009A35ED" w:rsidRDefault="00000000">
      <w:pPr>
        <w:tabs>
          <w:tab w:val="left" w:pos="1134"/>
        </w:tabs>
        <w:ind w:left="567"/>
        <w:rPr>
          <w:rFonts w:ascii="Times New Roman" w:hAnsi="Times New Roman"/>
          <w:sz w:val="22"/>
        </w:rPr>
      </w:pPr>
      <w:r>
        <w:rPr>
          <w:rFonts w:ascii="Times New Roman" w:hAnsi="Times New Roman"/>
          <w:sz w:val="22"/>
        </w:rPr>
        <w:t>b)</w:t>
      </w:r>
      <w:r>
        <w:rPr>
          <w:rFonts w:ascii="Times New Roman" w:hAnsi="Times New Roman"/>
          <w:sz w:val="22"/>
        </w:rPr>
        <w:tab/>
        <w:t>the reference code of this tender procedure, (i.e.</w:t>
      </w:r>
      <w:r w:rsidR="000D0DE0">
        <w:rPr>
          <w:rFonts w:ascii="Times New Roman" w:hAnsi="Times New Roman"/>
          <w:sz w:val="22"/>
        </w:rPr>
        <w:t xml:space="preserve"> </w:t>
      </w:r>
      <w:r w:rsidRPr="00AD2A25">
        <w:rPr>
          <w:rFonts w:ascii="Times New Roman" w:hAnsi="Times New Roman"/>
          <w:sz w:val="22"/>
        </w:rPr>
        <w:t>publication reference</w:t>
      </w:r>
      <w:r w:rsidR="000D0DE0" w:rsidRPr="003F6B93">
        <w:rPr>
          <w:rFonts w:ascii="Times New Roman" w:hAnsi="Times New Roman"/>
          <w:sz w:val="22"/>
        </w:rPr>
        <w:t xml:space="preserve">: </w:t>
      </w:r>
      <w:r w:rsidR="000D0DE0" w:rsidRPr="00AD2A25">
        <w:rPr>
          <w:rFonts w:ascii="Times New Roman" w:hAnsi="Times New Roman"/>
          <w:sz w:val="22"/>
        </w:rPr>
        <w:t>01-11-10013/25</w:t>
      </w:r>
      <w:proofErr w:type="gramStart"/>
      <w:r w:rsidRPr="003F6B93">
        <w:rPr>
          <w:rFonts w:ascii="Times New Roman" w:hAnsi="Times New Roman"/>
          <w:sz w:val="22"/>
        </w:rPr>
        <w:t>);</w:t>
      </w:r>
      <w:proofErr w:type="gramEnd"/>
    </w:p>
    <w:p w14:paraId="32CE8CD9" w14:textId="77777777" w:rsidR="009A35ED" w:rsidRDefault="00000000">
      <w:pPr>
        <w:tabs>
          <w:tab w:val="left" w:pos="1134"/>
        </w:tabs>
        <w:ind w:left="567"/>
        <w:rPr>
          <w:rFonts w:ascii="Times New Roman" w:hAnsi="Times New Roman"/>
          <w:sz w:val="22"/>
        </w:rPr>
      </w:pPr>
      <w:r>
        <w:rPr>
          <w:rFonts w:ascii="Times New Roman" w:hAnsi="Times New Roman"/>
          <w:sz w:val="22"/>
        </w:rPr>
        <w:t>c)</w:t>
      </w:r>
      <w:r>
        <w:rPr>
          <w:rFonts w:ascii="Times New Roman" w:hAnsi="Times New Roman"/>
          <w:sz w:val="22"/>
        </w:rPr>
        <w:tab/>
        <w:t xml:space="preserve">where applicable, the number of the lot(s) tendered </w:t>
      </w:r>
      <w:proofErr w:type="gramStart"/>
      <w:r>
        <w:rPr>
          <w:rFonts w:ascii="Times New Roman" w:hAnsi="Times New Roman"/>
          <w:sz w:val="22"/>
        </w:rPr>
        <w:t>for;</w:t>
      </w:r>
      <w:proofErr w:type="gramEnd"/>
    </w:p>
    <w:p w14:paraId="38FE302F" w14:textId="77777777" w:rsidR="009A35ED" w:rsidRDefault="00000000">
      <w:pPr>
        <w:tabs>
          <w:tab w:val="left" w:pos="1134"/>
        </w:tabs>
        <w:ind w:left="1134" w:hanging="567"/>
        <w:rPr>
          <w:rFonts w:ascii="Times New Roman" w:hAnsi="Times New Roman"/>
          <w:sz w:val="22"/>
        </w:rPr>
      </w:pPr>
      <w:r>
        <w:rPr>
          <w:rFonts w:ascii="Times New Roman" w:hAnsi="Times New Roman"/>
          <w:sz w:val="22"/>
        </w:rPr>
        <w:t>d)</w:t>
      </w:r>
      <w:r>
        <w:rPr>
          <w:rFonts w:ascii="Times New Roman" w:hAnsi="Times New Roman"/>
          <w:sz w:val="22"/>
        </w:rPr>
        <w:tab/>
        <w:t xml:space="preserve">the words ‘Not to be opened before the tender opening session’ in the language of the tender dossier and “Ne </w:t>
      </w:r>
      <w:proofErr w:type="spellStart"/>
      <w:r>
        <w:rPr>
          <w:rFonts w:ascii="Times New Roman" w:hAnsi="Times New Roman"/>
          <w:sz w:val="22"/>
        </w:rPr>
        <w:t>otvarati</w:t>
      </w:r>
      <w:proofErr w:type="spellEnd"/>
      <w:r>
        <w:rPr>
          <w:rFonts w:ascii="Times New Roman" w:hAnsi="Times New Roman"/>
          <w:sz w:val="22"/>
        </w:rPr>
        <w:t xml:space="preserve"> </w:t>
      </w:r>
      <w:proofErr w:type="spellStart"/>
      <w:r>
        <w:rPr>
          <w:rFonts w:ascii="Times New Roman" w:hAnsi="Times New Roman"/>
          <w:sz w:val="22"/>
        </w:rPr>
        <w:t>prije</w:t>
      </w:r>
      <w:proofErr w:type="spellEnd"/>
      <w:r>
        <w:rPr>
          <w:rFonts w:ascii="Times New Roman" w:hAnsi="Times New Roman"/>
          <w:sz w:val="22"/>
        </w:rPr>
        <w:t xml:space="preserve"> </w:t>
      </w:r>
      <w:proofErr w:type="spellStart"/>
      <w:r>
        <w:rPr>
          <w:rFonts w:ascii="Times New Roman" w:hAnsi="Times New Roman"/>
          <w:sz w:val="22"/>
        </w:rPr>
        <w:t>sastanka</w:t>
      </w:r>
      <w:proofErr w:type="spellEnd"/>
      <w:r>
        <w:rPr>
          <w:rFonts w:ascii="Times New Roman" w:hAnsi="Times New Roman"/>
          <w:sz w:val="22"/>
        </w:rPr>
        <w:t xml:space="preserve"> za </w:t>
      </w:r>
      <w:proofErr w:type="spellStart"/>
      <w:r>
        <w:rPr>
          <w:rFonts w:ascii="Times New Roman" w:hAnsi="Times New Roman"/>
          <w:sz w:val="22"/>
        </w:rPr>
        <w:t>otvaranje</w:t>
      </w:r>
      <w:proofErr w:type="spellEnd"/>
      <w:r>
        <w:rPr>
          <w:rFonts w:ascii="Times New Roman" w:hAnsi="Times New Roman"/>
          <w:sz w:val="22"/>
        </w:rPr>
        <w:t xml:space="preserve"> </w:t>
      </w:r>
      <w:proofErr w:type="spellStart"/>
      <w:r>
        <w:rPr>
          <w:rFonts w:ascii="Times New Roman" w:hAnsi="Times New Roman"/>
          <w:sz w:val="22"/>
        </w:rPr>
        <w:t>ponuda</w:t>
      </w:r>
      <w:proofErr w:type="spellEnd"/>
      <w:r>
        <w:rPr>
          <w:rFonts w:ascii="Times New Roman" w:hAnsi="Times New Roman"/>
          <w:sz w:val="22"/>
        </w:rPr>
        <w:t>”.</w:t>
      </w:r>
    </w:p>
    <w:p w14:paraId="0A8B3C44" w14:textId="77777777" w:rsidR="009A35ED" w:rsidRDefault="00000000">
      <w:pPr>
        <w:tabs>
          <w:tab w:val="left" w:pos="1134"/>
        </w:tabs>
        <w:ind w:left="567"/>
        <w:rPr>
          <w:rFonts w:ascii="Times New Roman" w:hAnsi="Times New Roman"/>
          <w:sz w:val="22"/>
        </w:rPr>
      </w:pPr>
      <w:r>
        <w:rPr>
          <w:rFonts w:ascii="Times New Roman" w:hAnsi="Times New Roman"/>
          <w:sz w:val="22"/>
        </w:rPr>
        <w:t>e)</w:t>
      </w:r>
      <w:r>
        <w:rPr>
          <w:rFonts w:ascii="Times New Roman" w:hAnsi="Times New Roman"/>
          <w:sz w:val="22"/>
        </w:rPr>
        <w:tab/>
        <w:t>the name of the tenderer.</w:t>
      </w:r>
    </w:p>
    <w:p w14:paraId="1A93B13B" w14:textId="77777777" w:rsidR="009A35ED" w:rsidRDefault="00000000">
      <w:pPr>
        <w:tabs>
          <w:tab w:val="left" w:pos="1134"/>
        </w:tabs>
        <w:ind w:left="567"/>
        <w:rPr>
          <w:rFonts w:ascii="Times New Roman" w:hAnsi="Times New Roman"/>
          <w:sz w:val="22"/>
        </w:rPr>
      </w:pPr>
      <w:r>
        <w:rPr>
          <w:rFonts w:ascii="Times New Roman" w:hAnsi="Times New Roman"/>
          <w:sz w:val="22"/>
        </w:rPr>
        <w:t xml:space="preserve">f) </w:t>
      </w:r>
      <w:r>
        <w:rPr>
          <w:rFonts w:ascii="Times New Roman" w:hAnsi="Times New Roman"/>
          <w:sz w:val="22"/>
        </w:rPr>
        <w:tab/>
        <w:t>An electronic version of the technical and/or financial offer</w:t>
      </w:r>
    </w:p>
    <w:p w14:paraId="2F02E493" w14:textId="77777777" w:rsidR="009A35ED" w:rsidRDefault="00000000">
      <w:pPr>
        <w:ind w:left="567"/>
        <w:jc w:val="both"/>
        <w:outlineLvl w:val="0"/>
        <w:rPr>
          <w:rFonts w:ascii="Times New Roman" w:hAnsi="Times New Roman"/>
          <w:sz w:val="22"/>
        </w:rPr>
      </w:pPr>
      <w:r>
        <w:rPr>
          <w:rFonts w:ascii="Times New Roman" w:hAnsi="Times New Roman"/>
          <w:sz w:val="22"/>
        </w:rPr>
        <w:t>The technical and financial offers must be placed together in a sealed envelope.</w:t>
      </w:r>
    </w:p>
    <w:p w14:paraId="1D07A176" w14:textId="77777777" w:rsidR="009A35ED" w:rsidRDefault="00000000">
      <w:pPr>
        <w:pStyle w:val="Naslov1"/>
        <w:numPr>
          <w:ilvl w:val="0"/>
          <w:numId w:val="2"/>
        </w:numPr>
      </w:pPr>
      <w:bookmarkStart w:id="20" w:name="_Toc42488080"/>
      <w:r>
        <w:t>Content of tenders</w:t>
      </w:r>
      <w:bookmarkEnd w:id="20"/>
    </w:p>
    <w:p w14:paraId="48C9FF56" w14:textId="77777777" w:rsidR="009A35ED" w:rsidRDefault="00000000">
      <w:pPr>
        <w:spacing w:after="0"/>
        <w:ind w:left="567"/>
        <w:jc w:val="both"/>
        <w:outlineLvl w:val="0"/>
        <w:rPr>
          <w:rFonts w:ascii="Times New Roman" w:hAnsi="Times New Roman"/>
          <w:sz w:val="22"/>
          <w:szCs w:val="22"/>
        </w:rPr>
      </w:pPr>
      <w:r>
        <w:rPr>
          <w:rFonts w:ascii="Times New Roman" w:hAnsi="Times New Roman"/>
          <w:sz w:val="22"/>
          <w:szCs w:val="22"/>
        </w:rPr>
        <w:t>Failure to fulfil the below requirements may result in rejection of the tender. All tenders submitted must comply with the requirements in the tender dossier and comprise:</w:t>
      </w:r>
    </w:p>
    <w:p w14:paraId="23881B6D" w14:textId="127903AC" w:rsidR="008238A9" w:rsidRDefault="008238A9">
      <w:pPr>
        <w:spacing w:after="0"/>
        <w:ind w:left="567"/>
        <w:jc w:val="both"/>
        <w:outlineLvl w:val="0"/>
        <w:rPr>
          <w:rFonts w:ascii="Times New Roman" w:hAnsi="Times New Roman"/>
          <w:sz w:val="22"/>
          <w:szCs w:val="22"/>
        </w:rPr>
      </w:pPr>
    </w:p>
    <w:p w14:paraId="08556D6C" w14:textId="77777777" w:rsidR="009A35ED" w:rsidRDefault="009A35ED">
      <w:pPr>
        <w:spacing w:after="0"/>
        <w:ind w:left="567"/>
        <w:jc w:val="both"/>
        <w:outlineLvl w:val="0"/>
        <w:rPr>
          <w:rFonts w:ascii="Times New Roman" w:hAnsi="Times New Roman"/>
          <w:sz w:val="22"/>
          <w:szCs w:val="22"/>
        </w:rPr>
      </w:pPr>
    </w:p>
    <w:p w14:paraId="21181930" w14:textId="77777777" w:rsidR="005553F4" w:rsidRDefault="005553F4">
      <w:pPr>
        <w:spacing w:after="0"/>
        <w:ind w:left="567"/>
        <w:jc w:val="both"/>
        <w:outlineLvl w:val="0"/>
        <w:rPr>
          <w:rFonts w:ascii="Times New Roman" w:hAnsi="Times New Roman"/>
          <w:sz w:val="22"/>
          <w:szCs w:val="22"/>
        </w:rPr>
      </w:pPr>
    </w:p>
    <w:p w14:paraId="50538048" w14:textId="77777777" w:rsidR="009A35ED" w:rsidRDefault="00000000">
      <w:pPr>
        <w:ind w:left="567"/>
        <w:jc w:val="both"/>
        <w:outlineLvl w:val="0"/>
        <w:rPr>
          <w:rFonts w:ascii="Times New Roman" w:hAnsi="Times New Roman"/>
          <w:b/>
          <w:sz w:val="22"/>
          <w:szCs w:val="22"/>
        </w:rPr>
      </w:pPr>
      <w:r>
        <w:rPr>
          <w:rFonts w:ascii="Times New Roman" w:hAnsi="Times New Roman"/>
          <w:b/>
          <w:sz w:val="22"/>
          <w:szCs w:val="22"/>
        </w:rPr>
        <w:lastRenderedPageBreak/>
        <w:t>Part 1: Technical offer:</w:t>
      </w:r>
    </w:p>
    <w:p w14:paraId="2E6D1EE7" w14:textId="77777777" w:rsidR="009A35ED" w:rsidRDefault="00000000">
      <w:pPr>
        <w:pStyle w:val="Naslov2"/>
        <w:keepNext w:val="0"/>
        <w:numPr>
          <w:ilvl w:val="0"/>
          <w:numId w:val="4"/>
        </w:numPr>
        <w:tabs>
          <w:tab w:val="left" w:pos="1134"/>
        </w:tabs>
        <w:spacing w:before="0" w:after="0"/>
        <w:ind w:left="1135" w:hanging="568"/>
        <w:rPr>
          <w:rFonts w:ascii="Times New Roman" w:hAnsi="Times New Roman"/>
          <w:sz w:val="22"/>
          <w:szCs w:val="22"/>
          <w:lang w:val="en-GB"/>
        </w:rPr>
      </w:pPr>
      <w:r>
        <w:rPr>
          <w:rFonts w:ascii="Times New Roman" w:hAnsi="Times New Roman"/>
          <w:sz w:val="22"/>
          <w:szCs w:val="22"/>
          <w:lang w:val="en-GB"/>
        </w:rPr>
        <w:t>a detailed description of the supplies tendered in conformity with the technical specifications, including any documentation required, including if applicable:</w:t>
      </w:r>
    </w:p>
    <w:p w14:paraId="63326F48" w14:textId="063A9166" w:rsidR="00A32246" w:rsidRPr="00AD2A25" w:rsidRDefault="00A32246" w:rsidP="00AD2A25">
      <w:pPr>
        <w:pStyle w:val="Odlomakpopisa"/>
        <w:numPr>
          <w:ilvl w:val="0"/>
          <w:numId w:val="9"/>
        </w:numPr>
        <w:rPr>
          <w:rFonts w:ascii="Times New Roman" w:hAnsi="Times New Roman"/>
          <w:sz w:val="20"/>
          <w:szCs w:val="20"/>
        </w:rPr>
      </w:pPr>
      <w:r w:rsidRPr="00AD2A25">
        <w:rPr>
          <w:rFonts w:ascii="Times New Roman" w:hAnsi="Times New Roman"/>
        </w:rPr>
        <w:t>a training proposal</w:t>
      </w:r>
      <w:r w:rsidR="005553F4">
        <w:rPr>
          <w:rFonts w:ascii="Times New Roman" w:hAnsi="Times New Roman"/>
        </w:rPr>
        <w:t xml:space="preserve">- </w:t>
      </w:r>
      <w:bookmarkStart w:id="21" w:name="_Hlk213407348"/>
      <w:r w:rsidR="005553F4" w:rsidRPr="002C49F4">
        <w:rPr>
          <w:rFonts w:ascii="Times New Roman" w:hAnsi="Times New Roman"/>
          <w:lang w:val="en"/>
        </w:rPr>
        <w:t>Training of Clinical and Administrative Staff</w:t>
      </w:r>
      <w:r w:rsidRPr="00AD2A25">
        <w:rPr>
          <w:rFonts w:ascii="Times New Roman" w:hAnsi="Times New Roman"/>
        </w:rPr>
        <w:t xml:space="preserve"> (as defined under Item </w:t>
      </w:r>
      <w:r w:rsidR="005553F4">
        <w:rPr>
          <w:rFonts w:ascii="Times New Roman" w:hAnsi="Times New Roman"/>
        </w:rPr>
        <w:t>2</w:t>
      </w:r>
      <w:r w:rsidRPr="00AD2A25">
        <w:rPr>
          <w:rFonts w:ascii="Times New Roman" w:hAnsi="Times New Roman"/>
        </w:rPr>
        <w:t xml:space="preserve"> in the Annex II + III)</w:t>
      </w:r>
    </w:p>
    <w:p w14:paraId="68A5F285" w14:textId="77777777" w:rsidR="009A35ED" w:rsidRDefault="00000000">
      <w:pPr>
        <w:ind w:left="567"/>
        <w:rPr>
          <w:rFonts w:ascii="Times New Roman" w:hAnsi="Times New Roman"/>
          <w:sz w:val="22"/>
          <w:szCs w:val="22"/>
        </w:rPr>
      </w:pPr>
      <w:bookmarkStart w:id="22" w:name="_1j4itdjzae3j"/>
      <w:bookmarkEnd w:id="21"/>
      <w:bookmarkEnd w:id="22"/>
      <w:r>
        <w:rPr>
          <w:rFonts w:ascii="Times New Roman" w:hAnsi="Times New Roman"/>
          <w:sz w:val="22"/>
          <w:szCs w:val="22"/>
        </w:rPr>
        <w:t>The technical offer should be presented as per template (Annex II+III*, Contractor’s technical offer) adding separate sheets for details if necessary.</w:t>
      </w:r>
    </w:p>
    <w:p w14:paraId="4155D9CB" w14:textId="77777777" w:rsidR="009A35ED" w:rsidRDefault="00000000">
      <w:pPr>
        <w:ind w:left="567"/>
        <w:jc w:val="both"/>
        <w:outlineLvl w:val="0"/>
        <w:rPr>
          <w:rFonts w:ascii="Times New Roman" w:hAnsi="Times New Roman"/>
          <w:b/>
          <w:sz w:val="22"/>
          <w:szCs w:val="22"/>
        </w:rPr>
      </w:pPr>
      <w:r>
        <w:rPr>
          <w:rFonts w:ascii="Times New Roman" w:hAnsi="Times New Roman"/>
          <w:b/>
          <w:sz w:val="22"/>
          <w:szCs w:val="22"/>
        </w:rPr>
        <w:t>Part 2: Financial offer:</w:t>
      </w:r>
    </w:p>
    <w:p w14:paraId="159115CB" w14:textId="77777777" w:rsidR="009A35ED" w:rsidRDefault="00000000">
      <w:pPr>
        <w:pStyle w:val="Naslov2"/>
        <w:keepNext w:val="0"/>
        <w:numPr>
          <w:ilvl w:val="0"/>
          <w:numId w:val="4"/>
        </w:numPr>
        <w:tabs>
          <w:tab w:val="left" w:pos="1134"/>
        </w:tabs>
        <w:spacing w:before="0" w:after="0"/>
        <w:ind w:left="1135" w:hanging="568"/>
        <w:rPr>
          <w:rFonts w:ascii="Times New Roman" w:hAnsi="Times New Roman"/>
          <w:sz w:val="22"/>
          <w:szCs w:val="22"/>
          <w:lang w:val="en-GB"/>
        </w:rPr>
      </w:pPr>
      <w:r>
        <w:rPr>
          <w:rFonts w:ascii="Times New Roman" w:hAnsi="Times New Roman"/>
          <w:sz w:val="22"/>
          <w:szCs w:val="22"/>
          <w:lang w:val="en-GB"/>
        </w:rPr>
        <w:t>A financial offer calculated on a DDP</w:t>
      </w:r>
      <w:r>
        <w:rPr>
          <w:rStyle w:val="FootnoteAnchor"/>
          <w:rFonts w:ascii="Times New Roman" w:hAnsi="Times New Roman"/>
        </w:rPr>
        <w:footnoteReference w:id="5"/>
      </w:r>
      <w:r>
        <w:rPr>
          <w:rFonts w:ascii="Times New Roman" w:hAnsi="Times New Roman"/>
          <w:sz w:val="22"/>
          <w:szCs w:val="22"/>
          <w:lang w:val="en-GB"/>
        </w:rPr>
        <w:t xml:space="preserve"> basis for the supplies tendered, including if applicable:</w:t>
      </w:r>
    </w:p>
    <w:p w14:paraId="7335753A" w14:textId="77777777" w:rsidR="005553F4" w:rsidRPr="005553F4" w:rsidRDefault="00A32246" w:rsidP="005553F4">
      <w:pPr>
        <w:pStyle w:val="Odlomakpopisa"/>
        <w:numPr>
          <w:ilvl w:val="0"/>
          <w:numId w:val="9"/>
        </w:numPr>
        <w:rPr>
          <w:rFonts w:ascii="Times New Roman" w:hAnsi="Times New Roman"/>
        </w:rPr>
      </w:pPr>
      <w:r w:rsidRPr="003F6B93">
        <w:rPr>
          <w:rFonts w:ascii="Times New Roman" w:hAnsi="Times New Roman"/>
        </w:rPr>
        <w:t>financial proposal for training</w:t>
      </w:r>
      <w:r w:rsidRPr="003F6B93" w:rsidDel="00A32246">
        <w:rPr>
          <w:rFonts w:ascii="Times New Roman" w:hAnsi="Times New Roman"/>
        </w:rPr>
        <w:t xml:space="preserve"> </w:t>
      </w:r>
      <w:r w:rsidR="005553F4">
        <w:rPr>
          <w:rFonts w:ascii="Times New Roman" w:hAnsi="Times New Roman"/>
        </w:rPr>
        <w:t xml:space="preserve">- </w:t>
      </w:r>
      <w:r w:rsidR="005553F4" w:rsidRPr="005553F4">
        <w:rPr>
          <w:rFonts w:ascii="Times New Roman" w:hAnsi="Times New Roman"/>
          <w:lang w:val="en"/>
        </w:rPr>
        <w:t>Training of Clinical and Administrative Staff</w:t>
      </w:r>
      <w:r w:rsidR="005553F4" w:rsidRPr="005553F4">
        <w:rPr>
          <w:rFonts w:ascii="Times New Roman" w:hAnsi="Times New Roman"/>
        </w:rPr>
        <w:t xml:space="preserve"> (as defined under Item 2 in the Annex II + III)</w:t>
      </w:r>
    </w:p>
    <w:p w14:paraId="79FDC670" w14:textId="614778CD" w:rsidR="009A35ED" w:rsidRDefault="00000000">
      <w:pPr>
        <w:spacing w:after="0"/>
        <w:rPr>
          <w:rFonts w:ascii="Times New Roman" w:hAnsi="Times New Roman"/>
          <w:b/>
          <w:sz w:val="22"/>
          <w:szCs w:val="22"/>
        </w:rPr>
      </w:pPr>
      <w:r>
        <w:rPr>
          <w:rFonts w:ascii="Times New Roman" w:hAnsi="Times New Roman"/>
          <w:sz w:val="22"/>
          <w:szCs w:val="22"/>
        </w:rPr>
        <w:t xml:space="preserve">This financial offer should be presented as per template (Annex IV*, Budget breakdown), adding separate sheets for details if necessary. </w:t>
      </w:r>
      <w:r>
        <w:rPr>
          <w:rFonts w:ascii="Times New Roman" w:hAnsi="Times New Roman"/>
          <w:sz w:val="22"/>
          <w:szCs w:val="22"/>
          <w:lang w:val="en-IE"/>
        </w:rPr>
        <w:t>All amounts are to be quoted excluding VAT. The program exempts the Contract Authority-Project Partner from paying VAT, because the total value of the project from which the equipment is procured exceeds 5,000,000</w:t>
      </w:r>
      <w:r w:rsidR="003F6B93">
        <w:rPr>
          <w:rFonts w:ascii="Times New Roman" w:hAnsi="Times New Roman"/>
          <w:sz w:val="22"/>
          <w:szCs w:val="22"/>
          <w:lang w:val="en-IE"/>
        </w:rPr>
        <w:t>,00 EUR</w:t>
      </w:r>
      <w:r>
        <w:rPr>
          <w:rFonts w:ascii="Times New Roman" w:hAnsi="Times New Roman"/>
          <w:sz w:val="22"/>
          <w:szCs w:val="22"/>
          <w:lang w:val="en-IE"/>
        </w:rPr>
        <w:t>. Upon awarding the Contract, the Contract Authority - Project partner will hand over the VAT exemption certificate to the selected supplier.</w:t>
      </w:r>
    </w:p>
    <w:p w14:paraId="17B2B1A6" w14:textId="77777777" w:rsidR="009A35ED" w:rsidRDefault="00000000">
      <w:pPr>
        <w:spacing w:after="0"/>
        <w:ind w:left="567"/>
        <w:rPr>
          <w:rFonts w:ascii="Times New Roman" w:hAnsi="Times New Roman"/>
          <w:b/>
          <w:sz w:val="22"/>
          <w:szCs w:val="22"/>
        </w:rPr>
      </w:pPr>
      <w:r>
        <w:rPr>
          <w:rFonts w:ascii="Times New Roman" w:hAnsi="Times New Roman"/>
          <w:b/>
          <w:sz w:val="22"/>
          <w:szCs w:val="22"/>
        </w:rPr>
        <w:t>Part 3: Documentation:</w:t>
      </w:r>
    </w:p>
    <w:p w14:paraId="3D55E3A1" w14:textId="77777777" w:rsidR="009A35ED" w:rsidRDefault="00000000">
      <w:pPr>
        <w:tabs>
          <w:tab w:val="left" w:pos="993"/>
        </w:tabs>
        <w:spacing w:after="0"/>
        <w:ind w:left="567"/>
        <w:rPr>
          <w:rFonts w:ascii="Times New Roman" w:hAnsi="Times New Roman"/>
          <w:sz w:val="22"/>
          <w:szCs w:val="22"/>
        </w:rPr>
      </w:pPr>
      <w:r>
        <w:rPr>
          <w:rFonts w:ascii="Times New Roman" w:hAnsi="Times New Roman"/>
          <w:sz w:val="22"/>
          <w:szCs w:val="22"/>
        </w:rPr>
        <w:t>To be supplied using the templates attached*:</w:t>
      </w:r>
    </w:p>
    <w:p w14:paraId="230A656A" w14:textId="77777777" w:rsidR="009A35ED" w:rsidRDefault="00000000">
      <w:pPr>
        <w:numPr>
          <w:ilvl w:val="0"/>
          <w:numId w:val="4"/>
        </w:numPr>
        <w:tabs>
          <w:tab w:val="left" w:pos="1134"/>
        </w:tabs>
        <w:ind w:left="1134" w:hanging="567"/>
        <w:jc w:val="both"/>
        <w:rPr>
          <w:rFonts w:ascii="Times New Roman" w:hAnsi="Times New Roman"/>
          <w:sz w:val="22"/>
          <w:szCs w:val="22"/>
        </w:rPr>
      </w:pPr>
      <w:r>
        <w:rPr>
          <w:rFonts w:ascii="Times New Roman" w:hAnsi="Times New Roman"/>
          <w:sz w:val="22"/>
          <w:szCs w:val="22"/>
        </w:rPr>
        <w:t>The ‘Tender Form for a Supply Contract’, together with Annex 1 "Declaration on honour on exclusion criteria and selection criteria", both duly completed, which includes the tenderer’s declaration, point 7, (from each member if a consortium, (if any)).:</w:t>
      </w:r>
    </w:p>
    <w:p w14:paraId="60E169C0" w14:textId="77777777" w:rsidR="009A35ED" w:rsidRDefault="00000000">
      <w:pPr>
        <w:numPr>
          <w:ilvl w:val="0"/>
          <w:numId w:val="4"/>
        </w:numPr>
        <w:spacing w:before="0" w:after="0"/>
        <w:ind w:left="1208" w:hanging="357"/>
        <w:jc w:val="both"/>
        <w:rPr>
          <w:rFonts w:ascii="Times New Roman" w:hAnsi="Times New Roman"/>
          <w:sz w:val="22"/>
          <w:szCs w:val="22"/>
        </w:rPr>
      </w:pPr>
      <w:r>
        <w:rPr>
          <w:rFonts w:ascii="Times New Roman" w:hAnsi="Times New Roman"/>
          <w:sz w:val="22"/>
          <w:szCs w:val="22"/>
        </w:rPr>
        <w:t>Financial identification Form (FIF) – containing the details of the bank account into which payments should be made</w:t>
      </w:r>
      <w:r>
        <w:rPr>
          <w:rFonts w:ascii="Times New Roman" w:hAnsi="Times New Roman"/>
        </w:rPr>
        <w:t xml:space="preserve"> </w:t>
      </w:r>
    </w:p>
    <w:p w14:paraId="42A2C736" w14:textId="77777777" w:rsidR="009A35ED" w:rsidRDefault="00000000">
      <w:pPr>
        <w:numPr>
          <w:ilvl w:val="0"/>
          <w:numId w:val="4"/>
        </w:numPr>
        <w:spacing w:after="0"/>
        <w:ind w:left="1208" w:hanging="357"/>
        <w:jc w:val="both"/>
        <w:rPr>
          <w:rFonts w:ascii="Times New Roman" w:hAnsi="Times New Roman"/>
          <w:sz w:val="22"/>
          <w:szCs w:val="22"/>
        </w:rPr>
      </w:pPr>
      <w:r>
        <w:rPr>
          <w:rFonts w:ascii="Times New Roman" w:hAnsi="Times New Roman"/>
          <w:sz w:val="22"/>
          <w:szCs w:val="22"/>
        </w:rPr>
        <w:t xml:space="preserve">Legal entity file (LEF) and the supporting documents </w:t>
      </w:r>
    </w:p>
    <w:p w14:paraId="79C141FF" w14:textId="77777777" w:rsidR="009A35ED" w:rsidRDefault="00000000">
      <w:pPr>
        <w:tabs>
          <w:tab w:val="left" w:pos="993"/>
        </w:tabs>
        <w:spacing w:after="0"/>
        <w:ind w:left="567"/>
        <w:rPr>
          <w:rFonts w:ascii="Times New Roman" w:hAnsi="Times New Roman"/>
          <w:sz w:val="22"/>
          <w:szCs w:val="22"/>
        </w:rPr>
      </w:pPr>
      <w:r>
        <w:rPr>
          <w:rFonts w:ascii="Times New Roman" w:hAnsi="Times New Roman"/>
          <w:sz w:val="22"/>
          <w:szCs w:val="22"/>
        </w:rPr>
        <w:t>To be supplied in free-text format:</w:t>
      </w:r>
    </w:p>
    <w:p w14:paraId="060DDC9C" w14:textId="77777777" w:rsidR="009A35ED" w:rsidRDefault="00000000">
      <w:pPr>
        <w:pStyle w:val="Odlomakpopisa"/>
        <w:numPr>
          <w:ilvl w:val="0"/>
          <w:numId w:val="7"/>
        </w:numPr>
        <w:jc w:val="both"/>
        <w:rPr>
          <w:rFonts w:ascii="Times New Roman" w:hAnsi="Times New Roman"/>
        </w:rPr>
      </w:pPr>
      <w:r>
        <w:rPr>
          <w:rFonts w:ascii="Times New Roman" w:hAnsi="Times New Roman"/>
        </w:rPr>
        <w:t>A description of the warranty conditions, which must be in accordance with the conditions laid down in Article 32 of the General Conditions</w:t>
      </w:r>
      <w:r>
        <w:rPr>
          <w:rFonts w:ascii="Times New Roman" w:hAnsi="Times New Roman"/>
          <w:color w:val="339966"/>
          <w:u w:val="single"/>
        </w:rPr>
        <w:t>.</w:t>
      </w:r>
    </w:p>
    <w:p w14:paraId="5CD501A5" w14:textId="77777777" w:rsidR="009A35ED" w:rsidRDefault="00000000">
      <w:pPr>
        <w:numPr>
          <w:ilvl w:val="0"/>
          <w:numId w:val="4"/>
        </w:numPr>
        <w:tabs>
          <w:tab w:val="left" w:pos="1134"/>
        </w:tabs>
        <w:spacing w:after="0"/>
        <w:ind w:left="1135" w:hanging="568"/>
        <w:jc w:val="both"/>
        <w:rPr>
          <w:rFonts w:ascii="Times New Roman" w:hAnsi="Times New Roman"/>
          <w:sz w:val="22"/>
          <w:szCs w:val="22"/>
        </w:rPr>
      </w:pPr>
      <w:r>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72AD00E3" w14:textId="77777777" w:rsidR="009A35ED" w:rsidRDefault="009A35ED">
      <w:pPr>
        <w:spacing w:after="0"/>
        <w:ind w:left="1135"/>
        <w:jc w:val="both"/>
        <w:rPr>
          <w:rFonts w:ascii="Times New Roman" w:hAnsi="Times New Roman"/>
          <w:sz w:val="22"/>
          <w:szCs w:val="22"/>
        </w:rPr>
      </w:pPr>
    </w:p>
    <w:p w14:paraId="7207FE85" w14:textId="77777777" w:rsidR="009A35ED" w:rsidRDefault="00000000">
      <w:pPr>
        <w:pStyle w:val="Naslov1"/>
        <w:numPr>
          <w:ilvl w:val="0"/>
          <w:numId w:val="2"/>
        </w:numPr>
      </w:pPr>
      <w:bookmarkStart w:id="23" w:name="_Toc42488081"/>
      <w:r>
        <w:t>Taxes and other charges</w:t>
      </w:r>
      <w:bookmarkEnd w:id="23"/>
    </w:p>
    <w:p w14:paraId="37BC3079" w14:textId="77777777" w:rsidR="009A35ED" w:rsidRDefault="00000000">
      <w:pPr>
        <w:pStyle w:val="Naslov2"/>
        <w:ind w:left="567"/>
        <w:jc w:val="both"/>
        <w:rPr>
          <w:rFonts w:ascii="Times New Roman" w:hAnsi="Times New Roman"/>
          <w:sz w:val="22"/>
          <w:lang w:val="en-GB"/>
        </w:rPr>
      </w:pPr>
      <w:r>
        <w:rPr>
          <w:rFonts w:ascii="Times New Roman" w:hAnsi="Times New Roman"/>
          <w:sz w:val="22"/>
          <w:lang w:val="en-GB"/>
        </w:rPr>
        <w:t>The applicable tax and customs arrangements are the following:</w:t>
      </w:r>
    </w:p>
    <w:p w14:paraId="499C6B0C" w14:textId="77777777" w:rsidR="009A35ED" w:rsidRDefault="00000000">
      <w:pPr>
        <w:ind w:left="567"/>
        <w:jc w:val="both"/>
        <w:rPr>
          <w:rFonts w:ascii="Times New Roman" w:hAnsi="Times New Roman"/>
          <w:sz w:val="22"/>
        </w:rPr>
      </w:pPr>
      <w:r>
        <w:rPr>
          <w:rFonts w:ascii="Times New Roman" w:hAnsi="Times New Roman"/>
          <w:sz w:val="22"/>
        </w:rPr>
        <w:t>Exemption from payment of value added tax (VAT) for users from Bosnia and Herzegovina who implement projects financed under the Interreg program is regulated:</w:t>
      </w:r>
    </w:p>
    <w:p w14:paraId="10C38414" w14:textId="77777777" w:rsidR="009A35ED" w:rsidRDefault="00000000">
      <w:pPr>
        <w:ind w:left="567"/>
        <w:jc w:val="both"/>
        <w:rPr>
          <w:rFonts w:ascii="Times New Roman" w:hAnsi="Times New Roman"/>
          <w:sz w:val="22"/>
        </w:rPr>
      </w:pPr>
      <w:r>
        <w:rPr>
          <w:rFonts w:ascii="Times New Roman" w:hAnsi="Times New Roman"/>
          <w:sz w:val="22"/>
        </w:rPr>
        <w:lastRenderedPageBreak/>
        <w:t>Framework agreement on financial partnership between the European Commission and Bosnia and Herzegovina (IPA III),</w:t>
      </w:r>
    </w:p>
    <w:p w14:paraId="37AEA924" w14:textId="77777777" w:rsidR="009A35ED" w:rsidRDefault="00000000">
      <w:pPr>
        <w:ind w:left="567"/>
        <w:jc w:val="both"/>
        <w:rPr>
          <w:rFonts w:ascii="Times New Roman" w:hAnsi="Times New Roman"/>
          <w:sz w:val="22"/>
        </w:rPr>
      </w:pPr>
      <w:r>
        <w:rPr>
          <w:rFonts w:ascii="Times New Roman" w:hAnsi="Times New Roman"/>
          <w:sz w:val="22"/>
        </w:rPr>
        <w:t>By the instruction on the procedure for obtaining customs and tax exemptions ("Official Gazette of Bosnia and Herzegovina", number 16/23),</w:t>
      </w:r>
    </w:p>
    <w:p w14:paraId="429B948F" w14:textId="77777777" w:rsidR="009A35ED" w:rsidRDefault="00000000">
      <w:pPr>
        <w:ind w:left="567"/>
        <w:jc w:val="both"/>
        <w:rPr>
          <w:rFonts w:ascii="Times New Roman" w:hAnsi="Times New Roman"/>
          <w:sz w:val="22"/>
        </w:rPr>
      </w:pPr>
      <w:r>
        <w:rPr>
          <w:rFonts w:ascii="Times New Roman" w:hAnsi="Times New Roman"/>
          <w:sz w:val="22"/>
        </w:rPr>
        <w:t>By the Instruction on Amendments and Supplements to the Instruction ("Official Gazette of Bosnia and Herzegovina", number 16/25).</w:t>
      </w:r>
      <w:bookmarkStart w:id="24" w:name="_Toc42488082"/>
    </w:p>
    <w:p w14:paraId="659EFA8E" w14:textId="77777777" w:rsidR="009A35ED" w:rsidRDefault="00000000">
      <w:pPr>
        <w:ind w:left="567"/>
        <w:jc w:val="both"/>
        <w:rPr>
          <w:rFonts w:ascii="Times New Roman" w:hAnsi="Times New Roman"/>
          <w:sz w:val="22"/>
        </w:rPr>
      </w:pPr>
      <w:r>
        <w:rPr>
          <w:rFonts w:ascii="Times New Roman" w:hAnsi="Times New Roman"/>
          <w:sz w:val="22"/>
          <w:szCs w:val="22"/>
        </w:rPr>
        <w:t>VAT is not an eligible cost</w:t>
      </w:r>
    </w:p>
    <w:p w14:paraId="1EFEF3CD" w14:textId="77777777" w:rsidR="009A35ED" w:rsidRDefault="00000000">
      <w:pPr>
        <w:pStyle w:val="Naslov1"/>
        <w:numPr>
          <w:ilvl w:val="0"/>
          <w:numId w:val="2"/>
        </w:numPr>
      </w:pPr>
      <w:r>
        <w:t>Additional information before the deadline for submission of tenders</w:t>
      </w:r>
      <w:bookmarkEnd w:id="24"/>
    </w:p>
    <w:p w14:paraId="35DBCDA0" w14:textId="77777777" w:rsidR="009A35ED" w:rsidRDefault="00000000">
      <w:pPr>
        <w:ind w:left="567"/>
        <w:jc w:val="both"/>
        <w:rPr>
          <w:rFonts w:ascii="Times New Roman" w:hAnsi="Times New Roman"/>
        </w:rPr>
      </w:pPr>
      <w:r>
        <w:rPr>
          <w:rFonts w:ascii="Times New Roman" w:hAnsi="Times New Roman"/>
          <w:sz w:val="22"/>
        </w:rPr>
        <w:t>The tender dossier should be so clear that tenderers do not need to request additional information during the procedure. If the Contracting authority - Project partner, on its own initiative or in response to a request from a prospective tenderer, provides additional information on the tender dossier, it must send such information in writing to all other prospective tenderers at the same time.</w:t>
      </w:r>
    </w:p>
    <w:p w14:paraId="4C6C37E9" w14:textId="4061CA0C" w:rsidR="009A35ED" w:rsidRDefault="00000000">
      <w:pPr>
        <w:ind w:left="567"/>
        <w:jc w:val="both"/>
        <w:rPr>
          <w:rFonts w:ascii="Times New Roman" w:hAnsi="Times New Roman"/>
          <w:b/>
          <w:bCs/>
          <w:sz w:val="22"/>
          <w:highlight w:val="yellow"/>
        </w:rPr>
      </w:pPr>
      <w:r>
        <w:rPr>
          <w:rFonts w:ascii="Times New Roman" w:hAnsi="Times New Roman"/>
          <w:sz w:val="22"/>
        </w:rPr>
        <w:t xml:space="preserve">Tenderers may submit questions in writing to the following address up to 21 days before the deadline for submission of tenders, specifying the </w:t>
      </w:r>
      <w:r w:rsidRPr="00AD2A25">
        <w:rPr>
          <w:rFonts w:ascii="Times New Roman" w:hAnsi="Times New Roman"/>
          <w:b/>
          <w:sz w:val="22"/>
        </w:rPr>
        <w:t>publication reference</w:t>
      </w:r>
      <w:r w:rsidR="000D0DE0" w:rsidRPr="00AD2A25">
        <w:rPr>
          <w:rFonts w:ascii="Times New Roman" w:hAnsi="Times New Roman"/>
          <w:b/>
          <w:sz w:val="22"/>
        </w:rPr>
        <w:t xml:space="preserve"> 01-11-10013/25</w:t>
      </w:r>
      <w:r w:rsidRPr="00AD2A25">
        <w:rPr>
          <w:rFonts w:ascii="Times New Roman" w:hAnsi="Times New Roman"/>
          <w:b/>
          <w:sz w:val="22"/>
        </w:rPr>
        <w:t xml:space="preserve"> </w:t>
      </w:r>
      <w:r>
        <w:rPr>
          <w:rFonts w:ascii="Times New Roman" w:hAnsi="Times New Roman"/>
          <w:b/>
          <w:sz w:val="22"/>
        </w:rPr>
        <w:t>and the contract title</w:t>
      </w:r>
      <w:r>
        <w:rPr>
          <w:rFonts w:ascii="Times New Roman" w:hAnsi="Times New Roman"/>
          <w:sz w:val="22"/>
        </w:rPr>
        <w:t xml:space="preserve">: </w:t>
      </w:r>
      <w:r>
        <w:rPr>
          <w:rFonts w:ascii="Times New Roman" w:hAnsi="Times New Roman"/>
          <w:b/>
          <w:bCs/>
          <w:sz w:val="22"/>
        </w:rPr>
        <w:t>Procurement of sophisticated medical equipment - stereotactic linear accelerator – LINAC</w:t>
      </w:r>
    </w:p>
    <w:p w14:paraId="6EA9B5BE" w14:textId="77777777" w:rsidR="009A35ED" w:rsidRDefault="009A35ED">
      <w:pPr>
        <w:ind w:left="567"/>
        <w:jc w:val="both"/>
        <w:rPr>
          <w:rFonts w:ascii="Times New Roman" w:hAnsi="Times New Roman"/>
          <w:sz w:val="22"/>
        </w:rPr>
      </w:pPr>
    </w:p>
    <w:p w14:paraId="7FAE1A87" w14:textId="77777777" w:rsidR="009A35ED" w:rsidRDefault="00000000">
      <w:pPr>
        <w:pStyle w:val="Tijeloteksta"/>
        <w:spacing w:before="0"/>
        <w:ind w:left="567"/>
        <w:rPr>
          <w:rFonts w:ascii="Times New Roman" w:hAnsi="Times New Roman"/>
        </w:rPr>
      </w:pPr>
      <w:r>
        <w:rPr>
          <w:rFonts w:ascii="Times New Roman" w:hAnsi="Times New Roman"/>
          <w:sz w:val="22"/>
        </w:rPr>
        <w:t>University Clinical Hospital Mostar</w:t>
      </w:r>
      <w:r>
        <w:rPr>
          <w:rFonts w:ascii="Times New Roman" w:hAnsi="Times New Roman"/>
          <w:sz w:val="22"/>
          <w:highlight w:val="yellow"/>
        </w:rPr>
        <w:br/>
      </w:r>
      <w:proofErr w:type="spellStart"/>
      <w:r>
        <w:rPr>
          <w:rFonts w:ascii="Times New Roman" w:hAnsi="Times New Roman"/>
          <w:sz w:val="22"/>
        </w:rPr>
        <w:t>Kralja</w:t>
      </w:r>
      <w:proofErr w:type="spellEnd"/>
      <w:r>
        <w:rPr>
          <w:rFonts w:ascii="Times New Roman" w:hAnsi="Times New Roman"/>
          <w:sz w:val="22"/>
        </w:rPr>
        <w:t xml:space="preserve"> </w:t>
      </w:r>
      <w:proofErr w:type="spellStart"/>
      <w:r>
        <w:rPr>
          <w:rFonts w:ascii="Times New Roman" w:hAnsi="Times New Roman"/>
          <w:sz w:val="22"/>
        </w:rPr>
        <w:t>Tvrtka</w:t>
      </w:r>
      <w:proofErr w:type="spellEnd"/>
      <w:r>
        <w:rPr>
          <w:rFonts w:ascii="Times New Roman" w:hAnsi="Times New Roman"/>
          <w:sz w:val="22"/>
        </w:rPr>
        <w:t xml:space="preserve"> bb, 88 000 Mostar</w:t>
      </w:r>
      <w:r>
        <w:rPr>
          <w:rFonts w:ascii="Times New Roman" w:hAnsi="Times New Roman"/>
          <w:sz w:val="22"/>
        </w:rPr>
        <w:br/>
        <w:t>Fax</w:t>
      </w:r>
      <w:r>
        <w:rPr>
          <w:rFonts w:ascii="Times New Roman" w:hAnsi="Times New Roman"/>
          <w:sz w:val="22"/>
        </w:rPr>
        <w:br/>
        <w:t>E-mail&gt;uredzaprojekte@skbm.ba</w:t>
      </w:r>
    </w:p>
    <w:p w14:paraId="553CAB72" w14:textId="77777777" w:rsidR="009A35ED" w:rsidRDefault="00000000">
      <w:pPr>
        <w:pStyle w:val="Tijeloteksta"/>
        <w:ind w:left="567"/>
        <w:jc w:val="both"/>
        <w:rPr>
          <w:rFonts w:ascii="Times New Roman" w:hAnsi="Times New Roman"/>
          <w:sz w:val="22"/>
          <w:szCs w:val="22"/>
        </w:rPr>
      </w:pPr>
      <w:r>
        <w:rPr>
          <w:rFonts w:ascii="Times New Roman" w:hAnsi="Times New Roman"/>
          <w:sz w:val="22"/>
        </w:rPr>
        <w:t>The Contracting authority - Project partner has no obligation to provide clarifications after this date.</w:t>
      </w:r>
    </w:p>
    <w:p w14:paraId="138A1EBE" w14:textId="77777777" w:rsidR="009A35ED" w:rsidRDefault="00000000">
      <w:pPr>
        <w:pStyle w:val="Tijeloteksta"/>
        <w:ind w:left="567"/>
        <w:jc w:val="both"/>
        <w:rPr>
          <w:rFonts w:ascii="Times New Roman" w:hAnsi="Times New Roman"/>
          <w:sz w:val="22"/>
        </w:rPr>
      </w:pPr>
      <w:r>
        <w:rPr>
          <w:rFonts w:ascii="Times New Roman" w:hAnsi="Times New Roman"/>
          <w:sz w:val="22"/>
          <w:szCs w:val="22"/>
        </w:rPr>
        <w:t xml:space="preserve">Any clarification of the tender dossier will be published on the following website </w:t>
      </w:r>
      <w:hyperlink r:id="rId15">
        <w:r w:rsidR="009A35ED">
          <w:rPr>
            <w:rStyle w:val="Hiperveza"/>
            <w:rFonts w:ascii="Times New Roman" w:hAnsi="Times New Roman"/>
            <w:sz w:val="22"/>
            <w:szCs w:val="22"/>
          </w:rPr>
          <w:t>www.skbm.ba</w:t>
        </w:r>
      </w:hyperlink>
      <w:r>
        <w:rPr>
          <w:rFonts w:ascii="Times New Roman" w:hAnsi="Times New Roman"/>
          <w:sz w:val="22"/>
          <w:szCs w:val="22"/>
        </w:rPr>
        <w:t xml:space="preserve"> </w:t>
      </w:r>
      <w:r>
        <w:rPr>
          <w:rFonts w:ascii="Times New Roman" w:hAnsi="Times New Roman"/>
          <w:sz w:val="22"/>
        </w:rPr>
        <w:t>at the latest 11 days before the deadline for submission of tenders.</w:t>
      </w:r>
    </w:p>
    <w:p w14:paraId="34CA08D6" w14:textId="77777777" w:rsidR="009A35ED" w:rsidRDefault="00000000">
      <w:pPr>
        <w:pStyle w:val="Tijeloteksta"/>
        <w:ind w:left="567"/>
        <w:jc w:val="both"/>
        <w:rPr>
          <w:rFonts w:ascii="Times New Roman" w:hAnsi="Times New Roman"/>
          <w:sz w:val="22"/>
        </w:rPr>
      </w:pPr>
      <w:r>
        <w:rPr>
          <w:rFonts w:ascii="Times New Roman" w:hAnsi="Times New Roman"/>
          <w:sz w:val="22"/>
        </w:rPr>
        <w:t>No individual meetings are foreseen. Any prospective tenderers seeking to arrange individual meetings with the Contracting Authority Project partner during the tender period may be excluded from the tender procedure.</w:t>
      </w:r>
    </w:p>
    <w:p w14:paraId="45C1BADB" w14:textId="77777777" w:rsidR="009A35ED" w:rsidRDefault="00000000">
      <w:pPr>
        <w:pStyle w:val="Naslov1"/>
        <w:numPr>
          <w:ilvl w:val="0"/>
          <w:numId w:val="2"/>
        </w:numPr>
      </w:pPr>
      <w:bookmarkStart w:id="25" w:name="_Toc42488083"/>
      <w:r>
        <w:t>Clarification meeting / site visit</w:t>
      </w:r>
      <w:bookmarkEnd w:id="25"/>
    </w:p>
    <w:p w14:paraId="342A377B" w14:textId="77777777" w:rsidR="009A35ED" w:rsidRDefault="00000000">
      <w:pPr>
        <w:pStyle w:val="Naslov2"/>
        <w:keepNext w:val="0"/>
        <w:numPr>
          <w:ilvl w:val="1"/>
          <w:numId w:val="3"/>
        </w:numPr>
        <w:ind w:left="567" w:hanging="567"/>
        <w:jc w:val="both"/>
        <w:rPr>
          <w:rFonts w:ascii="Times New Roman" w:hAnsi="Times New Roman"/>
          <w:sz w:val="22"/>
          <w:szCs w:val="22"/>
          <w:lang w:val="en-GB"/>
        </w:rPr>
      </w:pPr>
      <w:r>
        <w:rPr>
          <w:rFonts w:ascii="Times New Roman" w:hAnsi="Times New Roman"/>
          <w:sz w:val="22"/>
          <w:szCs w:val="22"/>
          <w:lang w:val="en-GB"/>
        </w:rPr>
        <w:t>An information meeting / site visit will be held to answer any questions on the tender dossier which have been forwarded in writing or are raised at the meeting. Minutes</w:t>
      </w:r>
      <w:r>
        <w:rPr>
          <w:rStyle w:val="FootnoteAnchor"/>
          <w:rFonts w:ascii="Times New Roman" w:hAnsi="Times New Roman"/>
          <w:sz w:val="22"/>
          <w:szCs w:val="22"/>
          <w:lang w:val="en-GB"/>
        </w:rPr>
        <w:footnoteReference w:id="6"/>
      </w:r>
      <w:r>
        <w:rPr>
          <w:rFonts w:ascii="Times New Roman" w:hAnsi="Times New Roman"/>
          <w:sz w:val="22"/>
          <w:szCs w:val="22"/>
          <w:lang w:val="en-GB"/>
        </w:rPr>
        <w:t xml:space="preserve"> will be taken during the meeting and these— together with any clarifications in response to written requests which are not addressed during the meeting — will be published at the latest 11 calendar days before the deadline for submission of tenders. No further clarification will be provided after this date. All the costs of attending this meeting will be borne by the tenderers.</w:t>
      </w:r>
    </w:p>
    <w:p w14:paraId="529F2DF1" w14:textId="20E8453B" w:rsidR="009A35ED" w:rsidRDefault="00000000">
      <w:pPr>
        <w:pStyle w:val="Tijeloteksta"/>
        <w:ind w:left="567"/>
        <w:jc w:val="both"/>
        <w:rPr>
          <w:rFonts w:ascii="Times New Roman" w:hAnsi="Times New Roman"/>
          <w:sz w:val="22"/>
          <w:szCs w:val="22"/>
        </w:rPr>
      </w:pPr>
      <w:r>
        <w:rPr>
          <w:rFonts w:ascii="Times New Roman" w:hAnsi="Times New Roman"/>
          <w:sz w:val="22"/>
          <w:szCs w:val="22"/>
        </w:rPr>
        <w:t xml:space="preserve">A site visit will be held on </w:t>
      </w:r>
      <w:proofErr w:type="gramStart"/>
      <w:r>
        <w:rPr>
          <w:rFonts w:ascii="Times New Roman" w:hAnsi="Times New Roman"/>
          <w:sz w:val="22"/>
          <w:szCs w:val="22"/>
        </w:rPr>
        <w:t>November,</w:t>
      </w:r>
      <w:proofErr w:type="gramEnd"/>
      <w:r>
        <w:rPr>
          <w:rFonts w:ascii="Times New Roman" w:hAnsi="Times New Roman"/>
          <w:sz w:val="22"/>
          <w:szCs w:val="22"/>
        </w:rPr>
        <w:t xml:space="preserve"> 20. 2025. At 13:00 Local Time, Oncology Clinic,</w:t>
      </w:r>
      <w:r w:rsidR="005553F4">
        <w:rPr>
          <w:rFonts w:ascii="Times New Roman" w:hAnsi="Times New Roman"/>
          <w:sz w:val="22"/>
          <w:szCs w:val="22"/>
        </w:rPr>
        <w:t xml:space="preserve"> UCH Mostar,</w:t>
      </w:r>
      <w:r>
        <w:rPr>
          <w:rFonts w:ascii="Times New Roman" w:hAnsi="Times New Roman"/>
          <w:sz w:val="22"/>
          <w:szCs w:val="22"/>
        </w:rPr>
        <w:t xml:space="preserve"> </w:t>
      </w:r>
      <w:proofErr w:type="spellStart"/>
      <w:r>
        <w:rPr>
          <w:rFonts w:ascii="Times New Roman" w:hAnsi="Times New Roman"/>
          <w:sz w:val="22"/>
          <w:szCs w:val="22"/>
        </w:rPr>
        <w:t>Bijeli</w:t>
      </w:r>
      <w:proofErr w:type="spellEnd"/>
      <w:r>
        <w:rPr>
          <w:rFonts w:ascii="Times New Roman" w:hAnsi="Times New Roman"/>
          <w:sz w:val="22"/>
          <w:szCs w:val="22"/>
        </w:rPr>
        <w:t xml:space="preserve"> </w:t>
      </w:r>
      <w:proofErr w:type="spellStart"/>
      <w:r>
        <w:rPr>
          <w:rFonts w:ascii="Times New Roman" w:hAnsi="Times New Roman"/>
          <w:sz w:val="22"/>
          <w:szCs w:val="22"/>
        </w:rPr>
        <w:t>Brijeg</w:t>
      </w:r>
      <w:proofErr w:type="spellEnd"/>
      <w:r>
        <w:rPr>
          <w:rFonts w:ascii="Times New Roman" w:hAnsi="Times New Roman"/>
          <w:sz w:val="22"/>
          <w:szCs w:val="22"/>
        </w:rPr>
        <w:t xml:space="preserve"> bb, 88 000 Mostar</w:t>
      </w:r>
    </w:p>
    <w:p w14:paraId="3FB26299" w14:textId="77777777" w:rsidR="009A35ED" w:rsidRDefault="00000000">
      <w:pPr>
        <w:pStyle w:val="Tijeloteksta"/>
        <w:ind w:left="567"/>
        <w:jc w:val="both"/>
        <w:rPr>
          <w:rFonts w:ascii="Times New Roman" w:hAnsi="Times New Roman"/>
          <w:sz w:val="22"/>
          <w:szCs w:val="22"/>
        </w:rPr>
      </w:pPr>
      <w:r>
        <w:rPr>
          <w:rFonts w:ascii="Times New Roman" w:hAnsi="Times New Roman"/>
          <w:sz w:val="22"/>
          <w:szCs w:val="22"/>
        </w:rPr>
        <w:t xml:space="preserve">             Contact mail: </w:t>
      </w:r>
      <w:hyperlink r:id="rId16">
        <w:r w:rsidR="009A35ED">
          <w:rPr>
            <w:rStyle w:val="Hiperveza"/>
            <w:rFonts w:ascii="Times New Roman" w:hAnsi="Times New Roman"/>
            <w:sz w:val="22"/>
            <w:szCs w:val="22"/>
          </w:rPr>
          <w:t>medicinskafizika@skbm.ba</w:t>
        </w:r>
      </w:hyperlink>
      <w:r>
        <w:rPr>
          <w:rFonts w:ascii="Times New Roman" w:hAnsi="Times New Roman"/>
          <w:sz w:val="22"/>
          <w:szCs w:val="22"/>
        </w:rPr>
        <w:t xml:space="preserve">; </w:t>
      </w:r>
      <w:hyperlink r:id="rId17">
        <w:r w:rsidR="009A35ED">
          <w:rPr>
            <w:rStyle w:val="Hiperveza"/>
            <w:rFonts w:ascii="Times New Roman" w:hAnsi="Times New Roman"/>
            <w:sz w:val="22"/>
            <w:szCs w:val="22"/>
          </w:rPr>
          <w:t>uredzaprojekte@skbm.ba</w:t>
        </w:r>
      </w:hyperlink>
    </w:p>
    <w:p w14:paraId="397D5E93" w14:textId="77777777" w:rsidR="009A35ED" w:rsidRDefault="00000000">
      <w:pPr>
        <w:pStyle w:val="Naslov2"/>
        <w:keepNext w:val="0"/>
        <w:numPr>
          <w:ilvl w:val="1"/>
          <w:numId w:val="3"/>
        </w:numPr>
        <w:ind w:left="567" w:hanging="567"/>
        <w:jc w:val="both"/>
        <w:rPr>
          <w:rFonts w:ascii="Times New Roman" w:hAnsi="Times New Roman"/>
          <w:sz w:val="22"/>
          <w:szCs w:val="22"/>
          <w:lang w:val="en-GB"/>
        </w:rPr>
      </w:pPr>
      <w:r>
        <w:rPr>
          <w:rFonts w:ascii="Times New Roman" w:hAnsi="Times New Roman"/>
          <w:sz w:val="22"/>
          <w:szCs w:val="22"/>
          <w:lang w:val="en-GB"/>
        </w:rPr>
        <w:lastRenderedPageBreak/>
        <w:t>Other than this site visit for all prospective tenderers, no visits by individual prospective tenderers can be organised during the tender period.</w:t>
      </w:r>
    </w:p>
    <w:p w14:paraId="19A202D3" w14:textId="77777777" w:rsidR="009A35ED" w:rsidRDefault="00000000">
      <w:pPr>
        <w:pStyle w:val="Naslov1"/>
        <w:numPr>
          <w:ilvl w:val="0"/>
          <w:numId w:val="2"/>
        </w:numPr>
        <w:rPr>
          <w:lang w:val="en-GB"/>
        </w:rPr>
      </w:pPr>
      <w:bookmarkStart w:id="26" w:name="_Toc42488084"/>
      <w:r>
        <w:rPr>
          <w:lang w:val="en-GB"/>
        </w:rPr>
        <w:t>Alteration or withdrawal of tenders</w:t>
      </w:r>
      <w:bookmarkEnd w:id="26"/>
    </w:p>
    <w:p w14:paraId="77530ED3" w14:textId="77777777" w:rsidR="009A35ED" w:rsidRDefault="00000000">
      <w:pPr>
        <w:pStyle w:val="Naslov2"/>
        <w:keepLines/>
        <w:ind w:left="567" w:hanging="567"/>
        <w:jc w:val="both"/>
        <w:rPr>
          <w:rFonts w:ascii="Times New Roman" w:hAnsi="Times New Roman"/>
          <w:lang w:val="en-GB"/>
        </w:rPr>
      </w:pPr>
      <w:r>
        <w:rPr>
          <w:rFonts w:ascii="Times New Roman" w:hAnsi="Times New Roman"/>
          <w:sz w:val="22"/>
          <w:lang w:val="en-GB"/>
        </w:rPr>
        <w:t>15.1</w:t>
      </w:r>
      <w:r>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486C9B01"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15.2</w:t>
      </w:r>
      <w:r>
        <w:rPr>
          <w:rFonts w:ascii="Times New Roman" w:hAnsi="Times New Roman"/>
          <w:sz w:val="22"/>
          <w:lang w:val="en-GB"/>
        </w:rPr>
        <w:tab/>
        <w:t>Any such notification of alteration or withdrawal must be prepared and submitted in accordance with Article 10. The outer envelope must be marked ‘Alteration’ or ‘Withdrawal’ as appropriate.</w:t>
      </w:r>
    </w:p>
    <w:p w14:paraId="09835400"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15.3</w:t>
      </w:r>
      <w:r>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E3A474A" w14:textId="77777777" w:rsidR="009A35ED" w:rsidRDefault="00000000">
      <w:pPr>
        <w:pStyle w:val="Naslov1"/>
        <w:numPr>
          <w:ilvl w:val="0"/>
          <w:numId w:val="2"/>
        </w:numPr>
        <w:rPr>
          <w:lang w:val="en-GB"/>
        </w:rPr>
      </w:pPr>
      <w:bookmarkStart w:id="27" w:name="_Toc42488085"/>
      <w:r>
        <w:rPr>
          <w:lang w:val="en-GB"/>
        </w:rPr>
        <w:t>Costs of preparing tenders</w:t>
      </w:r>
      <w:bookmarkEnd w:id="27"/>
    </w:p>
    <w:p w14:paraId="6CCD99B4" w14:textId="77777777" w:rsidR="009A35ED" w:rsidRDefault="00000000">
      <w:pPr>
        <w:tabs>
          <w:tab w:val="left" w:pos="567"/>
        </w:tabs>
        <w:ind w:left="567"/>
        <w:jc w:val="both"/>
        <w:rPr>
          <w:rFonts w:ascii="Times New Roman" w:hAnsi="Times New Roman"/>
          <w:sz w:val="22"/>
        </w:rPr>
      </w:pPr>
      <w:r>
        <w:rPr>
          <w:rFonts w:ascii="Times New Roman" w:hAnsi="Times New Roman"/>
          <w:sz w:val="22"/>
        </w:rPr>
        <w:t>No costs incurred by the tenderer in preparing and submitting the tender are reimbursable. All such costs will be borne by the tenderer.</w:t>
      </w:r>
    </w:p>
    <w:p w14:paraId="268E7498" w14:textId="77777777" w:rsidR="009A35ED" w:rsidRDefault="00000000">
      <w:pPr>
        <w:pStyle w:val="Naslov1"/>
        <w:numPr>
          <w:ilvl w:val="0"/>
          <w:numId w:val="2"/>
        </w:numPr>
        <w:rPr>
          <w:lang w:val="en-GB"/>
        </w:rPr>
      </w:pPr>
      <w:bookmarkStart w:id="28" w:name="_Toc42488086"/>
      <w:r>
        <w:rPr>
          <w:lang w:val="en-GB"/>
        </w:rPr>
        <w:t>Ownership of tenders</w:t>
      </w:r>
      <w:bookmarkEnd w:id="28"/>
    </w:p>
    <w:p w14:paraId="421BBBC4" w14:textId="77777777" w:rsidR="009A35ED" w:rsidRDefault="00000000">
      <w:pPr>
        <w:ind w:left="567"/>
        <w:jc w:val="both"/>
        <w:rPr>
          <w:rFonts w:ascii="Times New Roman" w:hAnsi="Times New Roman"/>
          <w:sz w:val="22"/>
        </w:rPr>
      </w:pPr>
      <w:r>
        <w:rPr>
          <w:rFonts w:ascii="Times New Roman" w:hAnsi="Times New Roman"/>
          <w:sz w:val="22"/>
        </w:rPr>
        <w:t>The Project partner retains ownership of all tenders received under this tender procedure. Consequently, tenderers have no right to have their tenders returned to them.</w:t>
      </w:r>
    </w:p>
    <w:p w14:paraId="3CFF3228" w14:textId="77777777" w:rsidR="009A35ED" w:rsidRDefault="00000000">
      <w:pPr>
        <w:pStyle w:val="Naslov1"/>
        <w:numPr>
          <w:ilvl w:val="0"/>
          <w:numId w:val="2"/>
        </w:numPr>
      </w:pPr>
      <w:bookmarkStart w:id="29" w:name="_Toc42488087"/>
      <w:r>
        <w:t>Joint venture or consortium</w:t>
      </w:r>
      <w:bookmarkEnd w:id="29"/>
    </w:p>
    <w:p w14:paraId="25340E36"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18.1</w:t>
      </w:r>
      <w:r>
        <w:rPr>
          <w:rFonts w:ascii="Times New Roman" w:hAnsi="Times New Roman"/>
          <w:sz w:val="22"/>
          <w:lang w:val="en-GB"/>
        </w:rPr>
        <w:tab/>
        <w:t xml:space="preserve">If a tenderer is a consortium of two or more persons, the tender must be </w:t>
      </w:r>
      <w:proofErr w:type="gramStart"/>
      <w:r>
        <w:rPr>
          <w:rFonts w:ascii="Times New Roman" w:hAnsi="Times New Roman"/>
          <w:sz w:val="22"/>
          <w:lang w:val="en-GB"/>
        </w:rPr>
        <w:t>a single one</w:t>
      </w:r>
      <w:proofErr w:type="gramEnd"/>
      <w:r>
        <w:rPr>
          <w:rFonts w:ascii="Times New Roman" w:hAnsi="Times New Roman"/>
          <w:sz w:val="22"/>
          <w:lang w:val="en-GB"/>
        </w:rPr>
        <w:t xml:space="preserve"> with the object of securing a single contract each person must sign the tender and will be jointly and severally liable for the tender and any contract. Members of the consortium should designate one of their members to act as leader with authority to bind the consortium. The composition of the consortium must not be altered.</w:t>
      </w:r>
    </w:p>
    <w:p w14:paraId="5911F3C0"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18.2</w:t>
      </w:r>
      <w:r>
        <w:rPr>
          <w:rFonts w:ascii="Times New Roman" w:hAnsi="Times New Roman"/>
          <w:sz w:val="22"/>
          <w:lang w:val="en-GB"/>
        </w:rPr>
        <w:tab/>
        <w:t>The tender may be signed by the representative of the consortium only if it has been expressly so authorised in writing by the members of the joint venture or consortium, and the authorising contract, notarial act or deed must be submitted to the contracting authority in accordance with point 11 of these instructions to tenderers</w:t>
      </w:r>
    </w:p>
    <w:p w14:paraId="20C0E731" w14:textId="77777777" w:rsidR="009A35ED" w:rsidRDefault="00000000">
      <w:pPr>
        <w:pStyle w:val="Naslov1"/>
        <w:numPr>
          <w:ilvl w:val="0"/>
          <w:numId w:val="2"/>
        </w:numPr>
      </w:pPr>
      <w:bookmarkStart w:id="30" w:name="_Toc42488088"/>
      <w:r>
        <w:t>Opening of tenders</w:t>
      </w:r>
      <w:bookmarkEnd w:id="30"/>
    </w:p>
    <w:p w14:paraId="2371FF7F"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19.1</w:t>
      </w:r>
      <w:r>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6763638E" w14:textId="4C6E4B0A"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19.2</w:t>
      </w:r>
      <w:r>
        <w:rPr>
          <w:rFonts w:ascii="Times New Roman" w:hAnsi="Times New Roman"/>
          <w:sz w:val="22"/>
          <w:lang w:val="en-GB"/>
        </w:rPr>
        <w:tab/>
        <w:t xml:space="preserve">The tenders will be opened in public session on </w:t>
      </w:r>
      <w:r>
        <w:rPr>
          <w:rFonts w:ascii="Times New Roman" w:hAnsi="Times New Roman"/>
          <w:b/>
          <w:bCs/>
          <w:sz w:val="22"/>
          <w:lang w:val="en-GB"/>
        </w:rPr>
        <w:t>12.01.2026. at 12:00 Local time at UC</w:t>
      </w:r>
      <w:r w:rsidR="005553F4">
        <w:rPr>
          <w:rFonts w:ascii="Times New Roman" w:hAnsi="Times New Roman"/>
          <w:b/>
          <w:bCs/>
          <w:sz w:val="22"/>
          <w:lang w:val="en-GB"/>
        </w:rPr>
        <w:t>H</w:t>
      </w:r>
      <w:r>
        <w:rPr>
          <w:rFonts w:ascii="Times New Roman" w:hAnsi="Times New Roman"/>
          <w:b/>
          <w:bCs/>
          <w:sz w:val="22"/>
          <w:lang w:val="en-GB"/>
        </w:rPr>
        <w:t xml:space="preserve"> Mostar, </w:t>
      </w:r>
      <w:proofErr w:type="spellStart"/>
      <w:r>
        <w:rPr>
          <w:rFonts w:ascii="Times New Roman" w:hAnsi="Times New Roman"/>
          <w:b/>
          <w:bCs/>
          <w:sz w:val="22"/>
          <w:lang w:val="en-GB"/>
        </w:rPr>
        <w:t>Kralja</w:t>
      </w:r>
      <w:proofErr w:type="spellEnd"/>
      <w:r>
        <w:rPr>
          <w:rFonts w:ascii="Times New Roman" w:hAnsi="Times New Roman"/>
          <w:b/>
          <w:bCs/>
          <w:sz w:val="22"/>
          <w:lang w:val="en-GB"/>
        </w:rPr>
        <w:t xml:space="preserve"> </w:t>
      </w:r>
      <w:proofErr w:type="spellStart"/>
      <w:r>
        <w:rPr>
          <w:rFonts w:ascii="Times New Roman" w:hAnsi="Times New Roman"/>
          <w:b/>
          <w:bCs/>
          <w:sz w:val="22"/>
          <w:lang w:val="en-GB"/>
        </w:rPr>
        <w:t>Tvrtka</w:t>
      </w:r>
      <w:proofErr w:type="spellEnd"/>
      <w:r>
        <w:rPr>
          <w:rFonts w:ascii="Times New Roman" w:hAnsi="Times New Roman"/>
          <w:b/>
          <w:bCs/>
          <w:sz w:val="22"/>
          <w:lang w:val="en-GB"/>
        </w:rPr>
        <w:t xml:space="preserve"> bb, 88000 Mostar</w:t>
      </w:r>
      <w:r>
        <w:rPr>
          <w:rFonts w:ascii="Times New Roman" w:hAnsi="Times New Roman"/>
          <w:sz w:val="22"/>
          <w:lang w:val="en-GB"/>
        </w:rPr>
        <w:t xml:space="preserve"> by the committee appointed for the purpose. The committee will draw up minutes of the meeting, which will be available on request.</w:t>
      </w:r>
    </w:p>
    <w:p w14:paraId="6AEF362B"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19.3</w:t>
      </w:r>
      <w:r>
        <w:rPr>
          <w:rFonts w:ascii="Times New Roman" w:hAnsi="Times New Roman"/>
          <w:sz w:val="22"/>
          <w:lang w:val="en-GB"/>
        </w:rPr>
        <w:tab/>
        <w:t>At the tender opening, the tenderers’ names, the tender prices, any discount offered, written notifications of alteration and withdrawal, the presence of the requisite tender guarantee (if required) and such other information as the Project partner may consider appropriate may be announced.</w:t>
      </w:r>
    </w:p>
    <w:p w14:paraId="75FE0BED"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lastRenderedPageBreak/>
        <w:t>19.4</w:t>
      </w:r>
      <w:r>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2E1C6A20" w14:textId="77777777" w:rsidR="009A35ED" w:rsidRDefault="00000000">
      <w:pPr>
        <w:pStyle w:val="Naslov2"/>
        <w:keepNext w:val="0"/>
        <w:ind w:left="567" w:hanging="567"/>
        <w:jc w:val="both"/>
        <w:rPr>
          <w:rFonts w:ascii="Times New Roman" w:hAnsi="Times New Roman"/>
          <w:sz w:val="22"/>
          <w:lang w:val="en-GB"/>
        </w:rPr>
      </w:pPr>
      <w:r>
        <w:rPr>
          <w:rFonts w:ascii="Times New Roman" w:hAnsi="Times New Roman"/>
          <w:sz w:val="22"/>
          <w:lang w:val="en-GB"/>
        </w:rPr>
        <w:t>19.5</w:t>
      </w:r>
      <w:r>
        <w:rPr>
          <w:rFonts w:ascii="Times New Roman" w:hAnsi="Times New Roman"/>
          <w:sz w:val="22"/>
          <w:lang w:val="en-GB"/>
        </w:rPr>
        <w:tab/>
        <w:t>Any attempt by tenderers to influence the evaluation committee in the process of examination, clarification, evaluation and comparison of tenders, to obtain information on how the procedure is progressing or to influence the Project partner in its decision concerning the award of the contract will result in the immediate rejection of their tenders.</w:t>
      </w:r>
    </w:p>
    <w:p w14:paraId="13201E2D" w14:textId="77777777" w:rsidR="009A35ED" w:rsidRDefault="00000000">
      <w:pPr>
        <w:pStyle w:val="Naslov2"/>
        <w:keepNext w:val="0"/>
        <w:ind w:left="567" w:hanging="567"/>
        <w:jc w:val="both"/>
        <w:rPr>
          <w:rFonts w:ascii="Times New Roman" w:hAnsi="Times New Roman"/>
          <w:lang w:val="en-GB"/>
        </w:rPr>
      </w:pPr>
      <w:r>
        <w:rPr>
          <w:rFonts w:ascii="Times New Roman" w:hAnsi="Times New Roman"/>
          <w:sz w:val="22"/>
          <w:lang w:val="en-GB"/>
        </w:rPr>
        <w:t>19.6</w:t>
      </w:r>
      <w:r>
        <w:rPr>
          <w:rFonts w:ascii="Times New Roman" w:hAnsi="Times New Roman"/>
          <w:sz w:val="22"/>
          <w:lang w:val="en-GB"/>
        </w:rPr>
        <w:tab/>
        <w:t>All tenders received after the deadline for submission specified in the contract notice or these instructions will be kept by the Project partner. The associated guarantees will be returned to the tenderers. No liability can be accepted for late delivery of tenders. Late tenders will be rejected and will not be evaluated.</w:t>
      </w:r>
    </w:p>
    <w:p w14:paraId="523261F0" w14:textId="77777777" w:rsidR="009A35ED" w:rsidRDefault="00000000">
      <w:pPr>
        <w:pStyle w:val="Naslov1"/>
        <w:numPr>
          <w:ilvl w:val="0"/>
          <w:numId w:val="2"/>
        </w:numPr>
      </w:pPr>
      <w:bookmarkStart w:id="31" w:name="_Toc42488089"/>
      <w:r>
        <w:t>Evaluation of tenders</w:t>
      </w:r>
      <w:bookmarkEnd w:id="31"/>
    </w:p>
    <w:p w14:paraId="71E419DD"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20.1</w:t>
      </w:r>
      <w:r>
        <w:rPr>
          <w:rFonts w:ascii="Times New Roman" w:hAnsi="Times New Roman"/>
          <w:sz w:val="22"/>
          <w:lang w:val="en-GB"/>
        </w:rPr>
        <w:tab/>
        <w:t>Examination of the administrative conformity of tenders</w:t>
      </w:r>
    </w:p>
    <w:p w14:paraId="56C11FC8" w14:textId="77777777" w:rsidR="009A35ED" w:rsidRDefault="00000000">
      <w:pPr>
        <w:ind w:left="567"/>
        <w:jc w:val="both"/>
        <w:outlineLvl w:val="0"/>
        <w:rPr>
          <w:rFonts w:ascii="Times New Roman" w:hAnsi="Times New Roman"/>
        </w:rPr>
      </w:pPr>
      <w:r>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49ED1618" w14:textId="77777777" w:rsidR="009A35ED" w:rsidRDefault="00000000">
      <w:pPr>
        <w:ind w:left="567"/>
        <w:jc w:val="both"/>
        <w:outlineLvl w:val="0"/>
        <w:rPr>
          <w:rFonts w:ascii="Times New Roman" w:hAnsi="Times New Roman"/>
        </w:rPr>
      </w:pPr>
      <w:r>
        <w:rPr>
          <w:rFonts w:ascii="Times New Roman" w:hAnsi="Times New Roman"/>
          <w:sz w:val="22"/>
        </w:rPr>
        <w:t>Substantial departures or restrictions are those which affect the scope, quality or execution of the contract, differ widely from the terms of the tender dossier, limit the rights of the Project partner or the tenderer’s obligations under the contract or distort competition for tenderers whose tenders do comply. Decisions to the effect that a tender is not administratively compliant must be duly justified in the evaluation minutes.</w:t>
      </w:r>
    </w:p>
    <w:p w14:paraId="277579C7" w14:textId="77777777" w:rsidR="009A35ED" w:rsidRDefault="00000000">
      <w:pPr>
        <w:ind w:left="567"/>
        <w:jc w:val="both"/>
        <w:outlineLvl w:val="0"/>
        <w:rPr>
          <w:rFonts w:ascii="Times New Roman" w:hAnsi="Times New Roman"/>
          <w:sz w:val="22"/>
        </w:rPr>
      </w:pPr>
      <w:r>
        <w:rPr>
          <w:rFonts w:ascii="Times New Roman" w:hAnsi="Times New Roman"/>
          <w:sz w:val="22"/>
        </w:rPr>
        <w:t>Contracting Authority (Project partner) may request clarification and supplement of the documents related to the administrative conformity.</w:t>
      </w:r>
    </w:p>
    <w:p w14:paraId="60CD7FB6"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20.2</w:t>
      </w:r>
      <w:r>
        <w:rPr>
          <w:rFonts w:ascii="Times New Roman" w:hAnsi="Times New Roman"/>
          <w:sz w:val="22"/>
          <w:lang w:val="en-GB"/>
        </w:rPr>
        <w:tab/>
        <w:t>Technical evaluation</w:t>
      </w:r>
    </w:p>
    <w:p w14:paraId="46A960B4" w14:textId="77777777" w:rsidR="009A35ED" w:rsidRDefault="00000000">
      <w:pPr>
        <w:spacing w:before="0"/>
        <w:ind w:left="567"/>
        <w:jc w:val="both"/>
        <w:outlineLvl w:val="0"/>
        <w:rPr>
          <w:rFonts w:ascii="Times New Roman" w:hAnsi="Times New Roman"/>
          <w:sz w:val="22"/>
        </w:rPr>
      </w:pPr>
      <w:r>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AEFAF55" w14:textId="77777777" w:rsidR="009A35ED" w:rsidRDefault="00000000">
      <w:pPr>
        <w:pStyle w:val="Naslov2"/>
        <w:keepNext w:val="0"/>
        <w:spacing w:before="0"/>
        <w:ind w:left="567"/>
        <w:jc w:val="both"/>
        <w:rPr>
          <w:rFonts w:ascii="Times New Roman" w:hAnsi="Times New Roman"/>
          <w:sz w:val="22"/>
          <w:szCs w:val="22"/>
          <w:lang w:val="en-GB"/>
        </w:rPr>
      </w:pPr>
      <w:r>
        <w:rPr>
          <w:rFonts w:ascii="Times New Roman" w:hAnsi="Times New Roman"/>
          <w:sz w:val="22"/>
          <w:szCs w:val="22"/>
          <w:lang w:val="en-GB"/>
        </w:rPr>
        <w:t>The minimum qualifications required (see selection criteria in Contract notice point 16) are to be evaluated at the start of this stage.</w:t>
      </w:r>
      <w:bookmarkStart w:id="32" w:name="_Ref500330647"/>
      <w:bookmarkEnd w:id="32"/>
    </w:p>
    <w:p w14:paraId="082636D6" w14:textId="77777777" w:rsidR="009A35ED" w:rsidRDefault="00000000">
      <w:pPr>
        <w:spacing w:before="0"/>
        <w:ind w:left="567"/>
        <w:jc w:val="both"/>
        <w:outlineLvl w:val="0"/>
        <w:rPr>
          <w:rFonts w:ascii="Times New Roman" w:hAnsi="Times New Roman"/>
          <w:sz w:val="22"/>
        </w:rPr>
      </w:pPr>
      <w:r>
        <w:rPr>
          <w:rFonts w:ascii="Times New Roman" w:hAnsi="Times New Roman"/>
          <w:sz w:val="22"/>
        </w:rPr>
        <w:t>Where contracts include after-sales service and/or training, the technical quality of such services will also be evaluated by using yes/no criteria as specified in the tender dossier.</w:t>
      </w:r>
    </w:p>
    <w:p w14:paraId="3D125309" w14:textId="77777777" w:rsidR="009A35ED" w:rsidRDefault="00000000">
      <w:pPr>
        <w:pStyle w:val="Naslov2"/>
        <w:ind w:left="567" w:hanging="567"/>
        <w:jc w:val="both"/>
        <w:rPr>
          <w:rFonts w:ascii="Times New Roman" w:hAnsi="Times New Roman"/>
          <w:lang w:val="en-GB"/>
        </w:rPr>
      </w:pPr>
      <w:r>
        <w:rPr>
          <w:rFonts w:ascii="Times New Roman" w:hAnsi="Times New Roman"/>
          <w:sz w:val="22"/>
          <w:lang w:val="en-GB"/>
        </w:rPr>
        <w:t>20.3</w:t>
      </w:r>
      <w:r>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030848F4"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20.4</w:t>
      </w:r>
      <w:r>
        <w:rPr>
          <w:rFonts w:ascii="Times New Roman" w:hAnsi="Times New Roman"/>
          <w:sz w:val="22"/>
          <w:lang w:val="en-GB"/>
        </w:rPr>
        <w:tab/>
        <w:t>Financial evaluation</w:t>
      </w:r>
    </w:p>
    <w:p w14:paraId="6FE37375"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a)</w:t>
      </w:r>
      <w:r>
        <w:rPr>
          <w:rFonts w:ascii="Times New Roman" w:hAnsi="Times New Roman"/>
          <w:sz w:val="22"/>
        </w:rPr>
        <w:tab/>
        <w:t>Tenders found to be technically compliant will be checked for any arithmetical errors in computation and summation. Errors will be corrected by the evaluation committee as follows:</w:t>
      </w:r>
    </w:p>
    <w:p w14:paraId="03D13FE7" w14:textId="77777777" w:rsidR="009A35ED" w:rsidRDefault="00000000">
      <w:pPr>
        <w:tabs>
          <w:tab w:val="left" w:pos="1418"/>
        </w:tabs>
        <w:spacing w:after="0"/>
        <w:ind w:left="1418" w:hanging="284"/>
        <w:jc w:val="both"/>
        <w:outlineLvl w:val="0"/>
        <w:rPr>
          <w:rFonts w:ascii="Times New Roman" w:hAnsi="Times New Roman"/>
          <w:sz w:val="22"/>
        </w:rPr>
      </w:pPr>
      <w:r>
        <w:rPr>
          <w:rFonts w:ascii="Times New Roman" w:hAnsi="Times New Roman"/>
          <w:sz w:val="22"/>
        </w:rPr>
        <w:lastRenderedPageBreak/>
        <w:t>-</w:t>
      </w:r>
      <w:r>
        <w:rPr>
          <w:rFonts w:ascii="Times New Roman" w:hAnsi="Times New Roman"/>
          <w:sz w:val="22"/>
        </w:rPr>
        <w:tab/>
        <w:t xml:space="preserve">where there is a discrepancy between amounts in figures and in words, the amount in words will be the amount taken into </w:t>
      </w:r>
      <w:proofErr w:type="gramStart"/>
      <w:r>
        <w:rPr>
          <w:rFonts w:ascii="Times New Roman" w:hAnsi="Times New Roman"/>
          <w:sz w:val="22"/>
        </w:rPr>
        <w:t>account;</w:t>
      </w:r>
      <w:proofErr w:type="gramEnd"/>
    </w:p>
    <w:p w14:paraId="0D8D36CB" w14:textId="77777777" w:rsidR="009A35ED" w:rsidRDefault="00000000">
      <w:pPr>
        <w:tabs>
          <w:tab w:val="left" w:pos="1418"/>
        </w:tabs>
        <w:spacing w:after="0"/>
        <w:ind w:left="1418" w:hanging="284"/>
        <w:jc w:val="both"/>
        <w:outlineLvl w:val="0"/>
        <w:rPr>
          <w:rFonts w:ascii="Times New Roman" w:hAnsi="Times New Roman"/>
          <w:sz w:val="22"/>
        </w:rPr>
      </w:pPr>
      <w:r>
        <w:rPr>
          <w:rFonts w:ascii="Times New Roman" w:hAnsi="Times New Roman"/>
          <w:sz w:val="22"/>
        </w:rPr>
        <w:t>-</w:t>
      </w:r>
      <w:r>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Pr>
          <w:rFonts w:ascii="Times New Roman" w:hAnsi="Times New Roman"/>
          <w:sz w:val="22"/>
        </w:rPr>
        <w:t>taken into account</w:t>
      </w:r>
      <w:proofErr w:type="gramEnd"/>
      <w:r>
        <w:rPr>
          <w:rFonts w:ascii="Times New Roman" w:hAnsi="Times New Roman"/>
          <w:sz w:val="22"/>
        </w:rPr>
        <w:t>.</w:t>
      </w:r>
    </w:p>
    <w:p w14:paraId="7D7BD439"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b)</w:t>
      </w:r>
      <w:r>
        <w:rPr>
          <w:rFonts w:ascii="Times New Roman" w:hAnsi="Times New Roman"/>
          <w:sz w:val="22"/>
        </w:rPr>
        <w:tab/>
        <w:t>Amounts corrected in this way will be binding on the tenderer. If the tenderer does not accept them, its tender will be rejected.</w:t>
      </w:r>
    </w:p>
    <w:p w14:paraId="12897DAE" w14:textId="77777777" w:rsidR="009A35ED" w:rsidRDefault="00000000">
      <w:pPr>
        <w:tabs>
          <w:tab w:val="left" w:pos="851"/>
        </w:tabs>
        <w:spacing w:after="0"/>
        <w:ind w:left="851" w:hanging="284"/>
        <w:jc w:val="both"/>
        <w:rPr>
          <w:rFonts w:ascii="Times New Roman" w:hAnsi="Times New Roman"/>
          <w:sz w:val="22"/>
        </w:rPr>
      </w:pPr>
      <w:r>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w:t>
      </w:r>
      <w:proofErr w:type="gramStart"/>
      <w:r>
        <w:rPr>
          <w:rFonts w:ascii="Times New Roman" w:hAnsi="Times New Roman"/>
          <w:sz w:val="22"/>
        </w:rPr>
        <w:t>take into account</w:t>
      </w:r>
      <w:proofErr w:type="gramEnd"/>
      <w:r>
        <w:rPr>
          <w:rFonts w:ascii="Times New Roman" w:hAnsi="Times New Roman"/>
          <w:sz w:val="22"/>
        </w:rPr>
        <w:t xml:space="preserve"> not only the acquisition costs but, to the extent relevant, costs borne over the life cycle of the supplies (such as for instance maintenance costs and operating costs), in line with the technical specifications. In such case, the Project partner will examine in detail all the information supplied by the tenderers and will formulate its judgment </w:t>
      </w:r>
      <w:proofErr w:type="gramStart"/>
      <w:r>
        <w:rPr>
          <w:rFonts w:ascii="Times New Roman" w:hAnsi="Times New Roman"/>
          <w:sz w:val="22"/>
        </w:rPr>
        <w:t>on the basis of</w:t>
      </w:r>
      <w:proofErr w:type="gramEnd"/>
      <w:r>
        <w:rPr>
          <w:rFonts w:ascii="Times New Roman" w:hAnsi="Times New Roman"/>
          <w:sz w:val="22"/>
        </w:rPr>
        <w:t xml:space="preserve"> the lowest total cost, including additional costs.</w:t>
      </w:r>
    </w:p>
    <w:p w14:paraId="3FA73023"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20.5</w:t>
      </w:r>
      <w:r>
        <w:rPr>
          <w:rFonts w:ascii="Times New Roman" w:hAnsi="Times New Roman"/>
          <w:sz w:val="22"/>
          <w:lang w:val="en-GB"/>
        </w:rPr>
        <w:tab/>
        <w:t>Variant solutions</w:t>
      </w:r>
    </w:p>
    <w:p w14:paraId="0BEE83D6" w14:textId="77777777" w:rsidR="009A35ED" w:rsidRDefault="00000000">
      <w:pPr>
        <w:ind w:left="567"/>
        <w:jc w:val="both"/>
        <w:rPr>
          <w:rFonts w:ascii="Times New Roman" w:hAnsi="Times New Roman"/>
          <w:sz w:val="22"/>
        </w:rPr>
      </w:pPr>
      <w:r>
        <w:rPr>
          <w:rFonts w:ascii="Times New Roman" w:hAnsi="Times New Roman"/>
          <w:sz w:val="22"/>
        </w:rPr>
        <w:t>Variant solutions will not be taken into consideration.</w:t>
      </w:r>
    </w:p>
    <w:p w14:paraId="58446967" w14:textId="77777777" w:rsidR="009A35ED" w:rsidRDefault="00000000">
      <w:pPr>
        <w:pStyle w:val="Naslov2"/>
        <w:ind w:left="567" w:hanging="567"/>
        <w:jc w:val="both"/>
        <w:rPr>
          <w:rFonts w:ascii="Times New Roman" w:hAnsi="Times New Roman"/>
          <w:sz w:val="22"/>
          <w:lang w:val="en-GB"/>
        </w:rPr>
      </w:pPr>
      <w:r>
        <w:rPr>
          <w:rFonts w:ascii="Times New Roman" w:hAnsi="Times New Roman"/>
          <w:sz w:val="22"/>
          <w:lang w:val="en-GB"/>
        </w:rPr>
        <w:t>20.6</w:t>
      </w:r>
      <w:r>
        <w:rPr>
          <w:rFonts w:ascii="Times New Roman" w:hAnsi="Times New Roman"/>
          <w:sz w:val="22"/>
          <w:lang w:val="en-GB"/>
        </w:rPr>
        <w:tab/>
        <w:t>Award criteria</w:t>
      </w:r>
    </w:p>
    <w:p w14:paraId="538C8B41" w14:textId="77777777" w:rsidR="009A35ED" w:rsidRDefault="00000000">
      <w:pPr>
        <w:ind w:left="567" w:firstLine="11"/>
        <w:jc w:val="both"/>
        <w:outlineLvl w:val="0"/>
        <w:rPr>
          <w:rFonts w:ascii="Times New Roman" w:hAnsi="Times New Roman"/>
          <w:sz w:val="22"/>
        </w:rPr>
      </w:pPr>
      <w:r>
        <w:rPr>
          <w:rFonts w:ascii="Times New Roman" w:hAnsi="Times New Roman"/>
          <w:sz w:val="22"/>
        </w:rPr>
        <w:t xml:space="preserve">The sole award criterion will be the price. The contract will be awarded to the lowest compliant tender. </w:t>
      </w:r>
    </w:p>
    <w:p w14:paraId="51C71999" w14:textId="77777777" w:rsidR="009A35ED" w:rsidRDefault="00000000">
      <w:pPr>
        <w:pStyle w:val="Naslov1"/>
        <w:numPr>
          <w:ilvl w:val="0"/>
          <w:numId w:val="2"/>
        </w:numPr>
        <w:rPr>
          <w:lang w:val="en-GB"/>
        </w:rPr>
      </w:pPr>
      <w:r>
        <w:t xml:space="preserve">Notification </w:t>
      </w:r>
      <w:r>
        <w:rPr>
          <w:lang w:val="en-GB"/>
        </w:rPr>
        <w:t>of award</w:t>
      </w:r>
    </w:p>
    <w:p w14:paraId="5E2DEC61" w14:textId="77777777" w:rsidR="009A35ED" w:rsidRDefault="00000000">
      <w:pPr>
        <w:ind w:left="567"/>
        <w:jc w:val="both"/>
        <w:rPr>
          <w:rFonts w:ascii="Times New Roman" w:hAnsi="Times New Roman"/>
          <w:sz w:val="22"/>
          <w:szCs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2D2315D" w14:textId="77777777" w:rsidR="009A35ED" w:rsidRDefault="00000000">
      <w:pPr>
        <w:ind w:left="567"/>
        <w:jc w:val="both"/>
        <w:rPr>
          <w:rFonts w:ascii="Times New Roman" w:hAnsi="Times New Roman"/>
          <w:sz w:val="22"/>
          <w:szCs w:val="22"/>
        </w:rPr>
      </w:pPr>
      <w:r>
        <w:rPr>
          <w:rFonts w:ascii="Times New Roman" w:hAnsi="Times New Roman"/>
          <w:sz w:val="22"/>
          <w:szCs w:val="22"/>
        </w:rPr>
        <w:t>The contracting authority will inform all tenderers simultaneously and individually of the award decision. The tender guarantees of the unsuccessful tenderers will be released once the contract is signed.</w:t>
      </w:r>
    </w:p>
    <w:p w14:paraId="74BC7461" w14:textId="77777777" w:rsidR="009A35ED" w:rsidRDefault="00000000">
      <w:pPr>
        <w:pStyle w:val="Naslov1"/>
        <w:numPr>
          <w:ilvl w:val="0"/>
          <w:numId w:val="2"/>
        </w:numPr>
        <w:rPr>
          <w:lang w:val="en-GB"/>
        </w:rPr>
      </w:pPr>
      <w:r>
        <w:rPr>
          <w:lang w:val="en-GB"/>
        </w:rPr>
        <w:t>Signature of the contract and performance guarantee</w:t>
      </w:r>
    </w:p>
    <w:p w14:paraId="7CC9A4E5" w14:textId="77777777" w:rsidR="009A35ED" w:rsidRDefault="009A35ED">
      <w:pPr>
        <w:keepNext/>
        <w:numPr>
          <w:ilvl w:val="0"/>
          <w:numId w:val="6"/>
        </w:numPr>
        <w:jc w:val="both"/>
        <w:outlineLvl w:val="1"/>
        <w:rPr>
          <w:rFonts w:ascii="Times New Roman" w:hAnsi="Times New Roman"/>
          <w:vanish/>
          <w:sz w:val="22"/>
        </w:rPr>
      </w:pPr>
    </w:p>
    <w:p w14:paraId="5EC7E88A" w14:textId="77777777" w:rsidR="009A35ED" w:rsidRDefault="009A35ED">
      <w:pPr>
        <w:keepNext/>
        <w:numPr>
          <w:ilvl w:val="0"/>
          <w:numId w:val="6"/>
        </w:numPr>
        <w:jc w:val="both"/>
        <w:outlineLvl w:val="1"/>
        <w:rPr>
          <w:rFonts w:ascii="Times New Roman" w:hAnsi="Times New Roman"/>
          <w:vanish/>
          <w:sz w:val="22"/>
        </w:rPr>
      </w:pPr>
    </w:p>
    <w:p w14:paraId="3630E002"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Pr>
          <w:rFonts w:ascii="Times New Roman" w:hAnsi="Times New Roman"/>
          <w:b/>
          <w:sz w:val="22"/>
        </w:rPr>
        <w:t>documentary proof</w:t>
      </w:r>
      <w:r>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0C0E797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225630FB"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Practical Guide.</w:t>
      </w:r>
    </w:p>
    <w:p w14:paraId="5FA1DEDB" w14:textId="77777777" w:rsidR="009A35ED" w:rsidRDefault="00000000">
      <w:pPr>
        <w:ind w:left="567"/>
        <w:jc w:val="both"/>
        <w:rPr>
          <w:rFonts w:ascii="Times New Roman" w:hAnsi="Times New Roman"/>
          <w:sz w:val="22"/>
          <w:szCs w:val="22"/>
        </w:rPr>
      </w:pPr>
      <w:r>
        <w:rPr>
          <w:rFonts w:ascii="Times New Roman" w:hAnsi="Times New Roman"/>
          <w:sz w:val="22"/>
          <w:szCs w:val="22"/>
        </w:rPr>
        <w:lastRenderedPageBreak/>
        <w:t>The contracting authority may, depending on its assessment of the risks, decide not to require proofs for financial and economic standing and technical and professional capacity.</w:t>
      </w:r>
    </w:p>
    <w:p w14:paraId="5FEF50F2"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7B014880" w14:textId="77777777" w:rsidR="009A35ED" w:rsidRDefault="00000000">
      <w:pPr>
        <w:ind w:left="567"/>
        <w:jc w:val="both"/>
        <w:rPr>
          <w:rFonts w:ascii="Times New Roman" w:hAnsi="Times New Roman"/>
          <w:sz w:val="22"/>
          <w:szCs w:val="22"/>
        </w:rPr>
      </w:pPr>
      <w:r>
        <w:rPr>
          <w:rFonts w:ascii="Times New Roman" w:hAnsi="Times New Roman"/>
          <w:color w:val="000000"/>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7B47489D" w14:textId="77777777" w:rsidR="009A35ED" w:rsidRDefault="00000000">
      <w:pPr>
        <w:ind w:left="567"/>
        <w:jc w:val="both"/>
        <w:rPr>
          <w:rFonts w:ascii="Times New Roman" w:hAnsi="Times New Roman"/>
          <w:color w:val="000000"/>
          <w:sz w:val="22"/>
          <w:szCs w:val="22"/>
        </w:rPr>
      </w:pPr>
      <w:r>
        <w:rPr>
          <w:rFonts w:ascii="Times New Roman" w:hAnsi="Times New Roman"/>
          <w:color w:val="000000"/>
          <w:sz w:val="22"/>
          <w:szCs w:val="22"/>
        </w:rPr>
        <w:t>Documentary evidence of the financial and economic capacity and/or of the technical and professional capacity according to the selection criteria specified in point 16 of the contract notice shall be submitted. (See</w:t>
      </w:r>
      <w:r>
        <w:rPr>
          <w:rFonts w:ascii="Times New Roman" w:hAnsi="Times New Roman"/>
          <w:sz w:val="22"/>
          <w:szCs w:val="22"/>
        </w:rPr>
        <w:t xml:space="preserve"> further Section 2.6.11. of the Practical Guide).</w:t>
      </w:r>
      <w:r>
        <w:rPr>
          <w:rFonts w:ascii="Times New Roman" w:hAnsi="Times New Roman"/>
          <w:color w:val="000000"/>
          <w:sz w:val="22"/>
          <w:szCs w:val="22"/>
        </w:rPr>
        <w:t xml:space="preserve"> </w:t>
      </w:r>
    </w:p>
    <w:p w14:paraId="78B9A173" w14:textId="77777777" w:rsidR="009A35ED" w:rsidRDefault="00000000">
      <w:pPr>
        <w:ind w:left="567"/>
        <w:jc w:val="both"/>
        <w:rPr>
          <w:rFonts w:ascii="Times New Roman" w:hAnsi="Times New Roman"/>
          <w:sz w:val="22"/>
        </w:rPr>
      </w:pPr>
      <w:r>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0473A0B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22.4. The contracting authority reserves the right to vary quantities specified in the tender by +/- 100</w:t>
      </w:r>
      <w:r>
        <w:rPr>
          <w:rFonts w:ascii="Times New Roman" w:hAnsi="Times New Roman"/>
          <w:w w:val="50"/>
          <w:sz w:val="22"/>
        </w:rPr>
        <w:t> </w:t>
      </w:r>
      <w:r>
        <w:rPr>
          <w:rFonts w:ascii="Times New Roman" w:hAnsi="Times New Roman"/>
          <w:sz w:val="22"/>
        </w:rPr>
        <w:t xml:space="preserve">% at the time of contracting and during the validity of the contract. The total value of the supplies may not, </w:t>
      </w:r>
      <w:proofErr w:type="gramStart"/>
      <w:r>
        <w:rPr>
          <w:rFonts w:ascii="Times New Roman" w:hAnsi="Times New Roman"/>
          <w:sz w:val="22"/>
        </w:rPr>
        <w:t>as a result of</w:t>
      </w:r>
      <w:proofErr w:type="gramEnd"/>
      <w:r>
        <w:rPr>
          <w:rFonts w:ascii="Times New Roman" w:hAnsi="Times New Roman"/>
          <w:sz w:val="22"/>
        </w:rPr>
        <w:t xml:space="preserve"> the variation rise or fall by more than 25</w:t>
      </w:r>
      <w:r>
        <w:rPr>
          <w:rFonts w:ascii="Times New Roman" w:hAnsi="Times New Roman"/>
          <w:w w:val="50"/>
          <w:sz w:val="22"/>
        </w:rPr>
        <w:t> </w:t>
      </w:r>
      <w:r>
        <w:rPr>
          <w:rFonts w:ascii="Times New Roman" w:hAnsi="Times New Roman"/>
          <w:sz w:val="22"/>
        </w:rPr>
        <w:t xml:space="preserve">% of the original financial offer in the tender. The unit prices quoted in the tender shall be used. </w:t>
      </w:r>
    </w:p>
    <w:p w14:paraId="62E8F0D5"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22.5. 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w:t>
      </w:r>
      <w:proofErr w:type="gramStart"/>
      <w:r>
        <w:rPr>
          <w:rFonts w:ascii="Times New Roman" w:hAnsi="Times New Roman"/>
          <w:sz w:val="22"/>
        </w:rPr>
        <w:t>contractor</w:t>
      </w:r>
      <w:proofErr w:type="gramEnd"/>
      <w:r>
        <w:rPr>
          <w:rFonts w:ascii="Times New Roman" w:hAnsi="Times New Roman"/>
          <w:sz w:val="22"/>
        </w:rPr>
        <w:t xml:space="preserve"> and the contract will enter into force.</w:t>
      </w:r>
    </w:p>
    <w:p w14:paraId="1D6BF43F" w14:textId="77777777" w:rsidR="009A35ED" w:rsidRDefault="00000000">
      <w:pPr>
        <w:tabs>
          <w:tab w:val="left" w:pos="567"/>
        </w:tabs>
        <w:ind w:left="567" w:hanging="567"/>
        <w:jc w:val="both"/>
        <w:outlineLvl w:val="1"/>
        <w:rPr>
          <w:rFonts w:ascii="Times New Roman" w:hAnsi="Times New Roman"/>
          <w:sz w:val="22"/>
        </w:rPr>
      </w:pPr>
      <w:r>
        <w:rPr>
          <w:rFonts w:ascii="Times New Roman" w:hAnsi="Times New Roman"/>
          <w:sz w:val="22"/>
        </w:rPr>
        <w:t>22.6. 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5185D8B2" w14:textId="77777777" w:rsidR="009A35ED" w:rsidRDefault="00000000">
      <w:pPr>
        <w:keepNext/>
        <w:tabs>
          <w:tab w:val="left" w:pos="567"/>
        </w:tabs>
        <w:ind w:left="567" w:hanging="567"/>
        <w:jc w:val="both"/>
        <w:outlineLvl w:val="1"/>
        <w:rPr>
          <w:rFonts w:ascii="Times New Roman" w:hAnsi="Times New Roman"/>
          <w:sz w:val="22"/>
        </w:rPr>
      </w:pPr>
      <w:r>
        <w:rPr>
          <w:rFonts w:ascii="Times New Roman" w:hAnsi="Times New Roman"/>
          <w:sz w:val="22"/>
        </w:rPr>
        <w:t xml:space="preserve">22.7. The </w:t>
      </w:r>
      <w:r>
        <w:rPr>
          <w:rFonts w:ascii="Times New Roman" w:hAnsi="Times New Roman"/>
          <w:b/>
          <w:bCs/>
          <w:sz w:val="22"/>
        </w:rPr>
        <w:t>performance guarantee</w:t>
      </w:r>
      <w:r>
        <w:rPr>
          <w:rFonts w:ascii="Times New Roman" w:hAnsi="Times New Roman"/>
          <w:sz w:val="22"/>
        </w:rPr>
        <w:t xml:space="preserve"> referred to in the general conditions is set </w:t>
      </w:r>
      <w:proofErr w:type="gramStart"/>
      <w:r>
        <w:rPr>
          <w:rFonts w:ascii="Times New Roman" w:hAnsi="Times New Roman"/>
          <w:b/>
          <w:bCs/>
          <w:sz w:val="22"/>
        </w:rPr>
        <w:t>at  5</w:t>
      </w:r>
      <w:proofErr w:type="gramEnd"/>
      <w:r>
        <w:rPr>
          <w:rFonts w:ascii="Times New Roman" w:hAnsi="Times New Roman"/>
          <w:b/>
          <w:bCs/>
          <w:w w:val="50"/>
          <w:sz w:val="22"/>
        </w:rPr>
        <w:t> </w:t>
      </w:r>
      <w:r>
        <w:rPr>
          <w:rFonts w:ascii="Times New Roman" w:hAnsi="Times New Roman"/>
          <w:b/>
          <w:bCs/>
          <w:sz w:val="22"/>
        </w:rPr>
        <w:t>%  of the amount of the contract</w:t>
      </w:r>
      <w:r>
        <w:rPr>
          <w:rFonts w:ascii="Times New Roman" w:hAnsi="Times New Roman"/>
          <w:sz w:val="22"/>
        </w:rPr>
        <w:t xml:space="preserve"> and must be presented in the form specified in the annex to the tender dossier. It will be released within 60 days of the issue of the final acceptance certificate by the contracting authority, except for the proportion assigned to after-sales service. </w:t>
      </w:r>
    </w:p>
    <w:p w14:paraId="16D70D44" w14:textId="77777777" w:rsidR="009A35ED" w:rsidRDefault="00000000">
      <w:pPr>
        <w:pStyle w:val="Naslov1"/>
        <w:numPr>
          <w:ilvl w:val="0"/>
          <w:numId w:val="2"/>
        </w:numPr>
        <w:rPr>
          <w:lang w:val="en-GB"/>
        </w:rPr>
      </w:pPr>
      <w:bookmarkStart w:id="33" w:name="_Toc42488091"/>
      <w:bookmarkStart w:id="34" w:name="_Toc41467299"/>
      <w:r>
        <w:rPr>
          <w:lang w:val="en-GB"/>
        </w:rPr>
        <w:t>Tender guarantee</w:t>
      </w:r>
      <w:bookmarkEnd w:id="33"/>
      <w:bookmarkEnd w:id="34"/>
    </w:p>
    <w:p w14:paraId="5324B30F" w14:textId="77777777" w:rsidR="009A35ED" w:rsidRDefault="00000000">
      <w:pPr>
        <w:jc w:val="both"/>
        <w:outlineLvl w:val="0"/>
        <w:rPr>
          <w:rFonts w:ascii="Times New Roman" w:hAnsi="Times New Roman"/>
          <w:sz w:val="22"/>
        </w:rPr>
      </w:pPr>
      <w:r>
        <w:rPr>
          <w:rFonts w:ascii="Times New Roman" w:hAnsi="Times New Roman"/>
          <w:sz w:val="22"/>
          <w:szCs w:val="22"/>
        </w:rPr>
        <w:t>No tender guarantee is required</w:t>
      </w:r>
      <w:r>
        <w:rPr>
          <w:rFonts w:ascii="Times New Roman" w:hAnsi="Times New Roman"/>
        </w:rPr>
        <w:t>.</w:t>
      </w:r>
    </w:p>
    <w:p w14:paraId="1941B411" w14:textId="47D27146" w:rsidR="009A35ED" w:rsidRDefault="00000000" w:rsidP="00730C4E">
      <w:pPr>
        <w:pStyle w:val="Naslov1"/>
        <w:numPr>
          <w:ilvl w:val="0"/>
          <w:numId w:val="2"/>
        </w:numPr>
      </w:pPr>
      <w:bookmarkStart w:id="35" w:name="_Toc42488092"/>
      <w:bookmarkStart w:id="36" w:name="_Toc41467300"/>
      <w:r>
        <w:t>Ethics clauses</w:t>
      </w:r>
      <w:bookmarkEnd w:id="35"/>
      <w:bookmarkEnd w:id="36"/>
    </w:p>
    <w:p w14:paraId="08A5B8B6" w14:textId="77777777" w:rsidR="009A35ED" w:rsidRDefault="00000000">
      <w:pPr>
        <w:rPr>
          <w:rFonts w:ascii="Times New Roman" w:hAnsi="Times New Roman"/>
          <w:sz w:val="22"/>
          <w:szCs w:val="22"/>
        </w:rPr>
      </w:pPr>
      <w:r>
        <w:rPr>
          <w:rFonts w:ascii="Times New Roman" w:hAnsi="Times New Roman"/>
          <w:sz w:val="22"/>
          <w:szCs w:val="22"/>
        </w:rPr>
        <w:t>24.1</w:t>
      </w:r>
      <w:r>
        <w:rPr>
          <w:rFonts w:ascii="Times New Roman" w:hAnsi="Times New Roman"/>
          <w:sz w:val="22"/>
          <w:szCs w:val="22"/>
        </w:rPr>
        <w:tab/>
        <w:t>Any attempt by a candidate or tenderer to obtain confidential information, enter into unlawful agreements with competitors or influence the committee or the Project partner during the process of examining, clarifying, evaluating and comparing tenders will lead to the rejection of their candidacy or tender and may result in administrative penalties.</w:t>
      </w:r>
    </w:p>
    <w:p w14:paraId="58ABCB00" w14:textId="77777777" w:rsidR="009A35ED" w:rsidRDefault="00000000">
      <w:pPr>
        <w:rPr>
          <w:rFonts w:ascii="Times New Roman" w:hAnsi="Times New Roman"/>
          <w:sz w:val="22"/>
          <w:szCs w:val="22"/>
        </w:rPr>
      </w:pPr>
      <w:r>
        <w:rPr>
          <w:rFonts w:ascii="Times New Roman" w:hAnsi="Times New Roman"/>
          <w:sz w:val="22"/>
          <w:szCs w:val="22"/>
        </w:rPr>
        <w:lastRenderedPageBreak/>
        <w:t>24.2</w:t>
      </w:r>
      <w:r>
        <w:rPr>
          <w:rFonts w:ascii="Times New Roman" w:hAnsi="Times New Roman"/>
          <w:sz w:val="22"/>
          <w:szCs w:val="22"/>
        </w:rPr>
        <w:tab/>
        <w:t>Without the Project partner’s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51979145" w14:textId="77777777" w:rsidR="009A35ED" w:rsidRDefault="00000000">
      <w:pPr>
        <w:rPr>
          <w:rFonts w:ascii="Times New Roman" w:hAnsi="Times New Roman"/>
          <w:sz w:val="22"/>
          <w:szCs w:val="22"/>
        </w:rPr>
      </w:pPr>
      <w:r>
        <w:rPr>
          <w:rFonts w:ascii="Times New Roman" w:hAnsi="Times New Roman"/>
          <w:sz w:val="22"/>
          <w:szCs w:val="22"/>
        </w:rPr>
        <w:t>24.3.</w:t>
      </w:r>
      <w:r>
        <w:rPr>
          <w:rFonts w:ascii="Times New Roman" w:hAnsi="Times New Roman"/>
          <w:sz w:val="22"/>
          <w:szCs w:val="22"/>
        </w:rPr>
        <w:tab/>
        <w:t>When submitting a tender, tenderers must declare that they are not affected by a conflict of interest and have no equivalent relation in that respect with other tenderers or parties involved in the project. Should such a situation arise during execution of the contract, the Contractor must immediately inform the Project partner.</w:t>
      </w:r>
    </w:p>
    <w:p w14:paraId="3EACEED7" w14:textId="77777777" w:rsidR="009A35ED" w:rsidRDefault="00000000">
      <w:pPr>
        <w:rPr>
          <w:rFonts w:ascii="Times New Roman" w:hAnsi="Times New Roman"/>
          <w:sz w:val="22"/>
          <w:szCs w:val="22"/>
        </w:rPr>
      </w:pPr>
      <w:r>
        <w:rPr>
          <w:rFonts w:ascii="Times New Roman" w:hAnsi="Times New Roman"/>
          <w:sz w:val="22"/>
          <w:szCs w:val="22"/>
        </w:rPr>
        <w:t>24.4</w:t>
      </w:r>
      <w:r>
        <w:rPr>
          <w:rFonts w:ascii="Times New Roman" w:hAnsi="Times New Roman"/>
          <w:sz w:val="22"/>
          <w:szCs w:val="22"/>
        </w:rPr>
        <w:tab/>
        <w:t xml:space="preserve">Contractors must </w:t>
      </w:r>
      <w:proofErr w:type="gramStart"/>
      <w:r>
        <w:rPr>
          <w:rFonts w:ascii="Times New Roman" w:hAnsi="Times New Roman"/>
          <w:sz w:val="22"/>
          <w:szCs w:val="22"/>
        </w:rPr>
        <w:t>at all times</w:t>
      </w:r>
      <w:proofErr w:type="gramEnd"/>
      <w:r>
        <w:rPr>
          <w:rFonts w:ascii="Times New Roman" w:hAnsi="Times New Roman"/>
          <w:sz w:val="22"/>
          <w:szCs w:val="22"/>
        </w:rPr>
        <w:t xml:space="preserve"> act impartially and as faithful advisers in accordance with the code of conduct of their profession. They will refrain from making public statements about the project or services without the Project partner’s prior approval. They may not commit the Project partner in any way without its prior written consent.</w:t>
      </w:r>
    </w:p>
    <w:p w14:paraId="0B5381BB" w14:textId="77777777" w:rsidR="009A35ED" w:rsidRDefault="00000000">
      <w:pPr>
        <w:rPr>
          <w:rFonts w:ascii="Times New Roman" w:hAnsi="Times New Roman"/>
          <w:sz w:val="22"/>
          <w:szCs w:val="22"/>
        </w:rPr>
      </w:pPr>
      <w:r>
        <w:rPr>
          <w:rFonts w:ascii="Times New Roman" w:hAnsi="Times New Roman"/>
          <w:sz w:val="22"/>
          <w:szCs w:val="22"/>
        </w:rPr>
        <w:t>24.5</w:t>
      </w:r>
      <w:r>
        <w:rPr>
          <w:rFonts w:ascii="Times New Roman" w:hAnsi="Times New Roman"/>
          <w:sz w:val="22"/>
          <w:szCs w:val="22"/>
        </w:rPr>
        <w:tab/>
        <w:t>For the duration of the contracts Contractors and their staff must respect human rights and undertake not to offend the political, cultural and religious mores of the beneficiary state. In particular and in accordance with the legal basic act concerned, tenderers that have been awarded contracts must abide by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DA48B53" w14:textId="77777777" w:rsidR="009A35ED" w:rsidRDefault="00000000">
      <w:pPr>
        <w:rPr>
          <w:rFonts w:ascii="Times New Roman" w:hAnsi="Times New Roman"/>
          <w:sz w:val="22"/>
          <w:szCs w:val="22"/>
        </w:rPr>
      </w:pPr>
      <w:r>
        <w:rPr>
          <w:rFonts w:ascii="Times New Roman" w:hAnsi="Times New Roman"/>
          <w:sz w:val="22"/>
          <w:szCs w:val="22"/>
        </w:rPr>
        <w:t>24.6</w:t>
      </w:r>
      <w:r>
        <w:rPr>
          <w:rFonts w:ascii="Times New Roman" w:hAnsi="Times New Roman"/>
          <w:sz w:val="22"/>
          <w:szCs w:val="22"/>
        </w:rPr>
        <w:tab/>
        <w:t>Contractors may accept no payment connected with the contracts other than that provided for therein. Contractors and their staff must not exercise any activity nor receive any advantage inconsistent with their obligations to the Project partner.</w:t>
      </w:r>
    </w:p>
    <w:p w14:paraId="4C819EF5" w14:textId="77777777" w:rsidR="009A35ED" w:rsidRDefault="00000000">
      <w:pPr>
        <w:rPr>
          <w:rFonts w:ascii="Times New Roman" w:hAnsi="Times New Roman"/>
          <w:sz w:val="22"/>
          <w:szCs w:val="22"/>
        </w:rPr>
      </w:pPr>
      <w:r>
        <w:rPr>
          <w:rFonts w:ascii="Times New Roman" w:hAnsi="Times New Roman"/>
          <w:sz w:val="22"/>
          <w:szCs w:val="22"/>
        </w:rPr>
        <w:t>24.7</w:t>
      </w:r>
      <w:r>
        <w:rPr>
          <w:rFonts w:ascii="Times New Roman" w:hAnsi="Times New Roman"/>
          <w:sz w:val="22"/>
          <w:szCs w:val="22"/>
        </w:rPr>
        <w:tab/>
        <w:t>Contractors and their staff are obliged to maintain professional secrecy for the entire duration of contracts and after their completion. All reports and documents drawn up or received by Contractors will be confidential.</w:t>
      </w:r>
    </w:p>
    <w:p w14:paraId="23BBF280" w14:textId="77777777" w:rsidR="009A35ED" w:rsidRDefault="00000000">
      <w:pPr>
        <w:rPr>
          <w:rFonts w:ascii="Times New Roman" w:hAnsi="Times New Roman"/>
          <w:sz w:val="22"/>
          <w:szCs w:val="22"/>
        </w:rPr>
      </w:pPr>
      <w:r>
        <w:rPr>
          <w:rFonts w:ascii="Times New Roman" w:hAnsi="Times New Roman"/>
          <w:sz w:val="22"/>
          <w:szCs w:val="22"/>
        </w:rPr>
        <w:t>24.8</w:t>
      </w:r>
      <w:r>
        <w:rPr>
          <w:rFonts w:ascii="Times New Roman" w:hAnsi="Times New Roman"/>
          <w:sz w:val="22"/>
          <w:szCs w:val="22"/>
        </w:rPr>
        <w:tab/>
        <w:t>The contract governs the Contracting Parties’ use of all reports and documents drawn up, received or presented by them during the implementation of the contract.</w:t>
      </w:r>
    </w:p>
    <w:p w14:paraId="7C52D5A3" w14:textId="77777777" w:rsidR="009A35ED" w:rsidRDefault="00000000">
      <w:pPr>
        <w:rPr>
          <w:rFonts w:ascii="Times New Roman" w:hAnsi="Times New Roman"/>
          <w:sz w:val="22"/>
          <w:szCs w:val="22"/>
        </w:rPr>
      </w:pPr>
      <w:r>
        <w:rPr>
          <w:rFonts w:ascii="Times New Roman" w:hAnsi="Times New Roman"/>
          <w:sz w:val="22"/>
          <w:szCs w:val="22"/>
        </w:rPr>
        <w:t>24.9</w:t>
      </w:r>
      <w:r>
        <w:rPr>
          <w:rFonts w:ascii="Times New Roman" w:hAnsi="Times New Roman"/>
          <w:sz w:val="22"/>
          <w:szCs w:val="22"/>
        </w:rPr>
        <w:tab/>
        <w:t>Contractors must refrain from any relationship likely to compromise their independence or that of their staff. If the Contractor ceases to be independent, the Project partner may, regardless of injury, terminate the contract without further notice and without the Contractor having any claim to compensation.</w:t>
      </w:r>
    </w:p>
    <w:p w14:paraId="10DAD6D0" w14:textId="77777777" w:rsidR="009A35ED" w:rsidRDefault="00000000">
      <w:pPr>
        <w:rPr>
          <w:rFonts w:ascii="Times New Roman" w:hAnsi="Times New Roman"/>
          <w:sz w:val="22"/>
          <w:szCs w:val="22"/>
        </w:rPr>
      </w:pPr>
      <w:r>
        <w:rPr>
          <w:rFonts w:ascii="Times New Roman" w:hAnsi="Times New Roman"/>
          <w:sz w:val="22"/>
          <w:szCs w:val="22"/>
        </w:rPr>
        <w:t>24.10</w:t>
      </w:r>
      <w:r>
        <w:rPr>
          <w:rFonts w:ascii="Times New Roman" w:hAnsi="Times New Roman"/>
          <w:sz w:val="22"/>
          <w:szCs w:val="22"/>
        </w:rPr>
        <w:tab/>
        <w:t>The Project partner reserves the right to suspend or cancel project financing if corrupt practices of any kind are discovered at any stage of the award process and if the Project partner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Project partner.</w:t>
      </w:r>
    </w:p>
    <w:p w14:paraId="366FA222" w14:textId="77777777" w:rsidR="009A35ED" w:rsidRDefault="00000000">
      <w:pPr>
        <w:rPr>
          <w:rFonts w:ascii="Times New Roman" w:hAnsi="Times New Roman"/>
          <w:sz w:val="22"/>
          <w:szCs w:val="22"/>
        </w:rPr>
      </w:pPr>
      <w:r>
        <w:rPr>
          <w:rFonts w:ascii="Times New Roman" w:hAnsi="Times New Roman"/>
          <w:sz w:val="22"/>
          <w:szCs w:val="22"/>
        </w:rPr>
        <w:t>24.11</w:t>
      </w:r>
      <w:r>
        <w:rPr>
          <w:rFonts w:ascii="Times New Roman" w:hAnsi="Times New Roman"/>
          <w:sz w:val="22"/>
          <w:szCs w:val="22"/>
        </w:rPr>
        <w:tab/>
        <w:t>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any appearance of being a front company.</w:t>
      </w:r>
    </w:p>
    <w:p w14:paraId="73ABD182" w14:textId="77777777" w:rsidR="009A35ED" w:rsidRDefault="00000000">
      <w:pPr>
        <w:rPr>
          <w:rFonts w:ascii="Times New Roman" w:hAnsi="Times New Roman"/>
          <w:sz w:val="22"/>
          <w:szCs w:val="22"/>
        </w:rPr>
      </w:pPr>
      <w:r>
        <w:rPr>
          <w:rFonts w:ascii="Times New Roman" w:hAnsi="Times New Roman"/>
          <w:sz w:val="22"/>
          <w:szCs w:val="22"/>
        </w:rPr>
        <w:t>24.12</w:t>
      </w:r>
      <w:r>
        <w:rPr>
          <w:rFonts w:ascii="Times New Roman" w:hAnsi="Times New Roman"/>
          <w:sz w:val="22"/>
          <w:szCs w:val="22"/>
        </w:rPr>
        <w:tab/>
        <w:t>Contractors found to have paid unusual commercial expenses on projects funded by the EU are liable, depending on the seriousness of the facts observed, to have their contracts terminated or to be permanently excluded from receiving EU funds.</w:t>
      </w:r>
    </w:p>
    <w:p w14:paraId="21915C4B" w14:textId="77777777" w:rsidR="009A35ED" w:rsidRDefault="00000000">
      <w:pPr>
        <w:rPr>
          <w:rFonts w:ascii="Times New Roman" w:hAnsi="Times New Roman"/>
          <w:sz w:val="22"/>
          <w:szCs w:val="22"/>
        </w:rPr>
      </w:pPr>
      <w:r>
        <w:rPr>
          <w:rFonts w:ascii="Times New Roman" w:hAnsi="Times New Roman"/>
          <w:sz w:val="22"/>
          <w:szCs w:val="22"/>
        </w:rPr>
        <w:lastRenderedPageBreak/>
        <w:t>24.13</w:t>
      </w:r>
      <w:r>
        <w:rPr>
          <w:rFonts w:ascii="Times New Roman" w:hAnsi="Times New Roman"/>
          <w:sz w:val="22"/>
          <w:szCs w:val="22"/>
        </w:rPr>
        <w:tab/>
        <w:t>The Project partner reserves the right to suspend or cancel the procedure, if the award procedure proves to have been subject to substantial errors, irregularities or fraud. Where such substantial errors, irregularities or fraud are discovered after the award of the Contract, the Project partner may refrain from concluding the Contract.</w:t>
      </w:r>
    </w:p>
    <w:p w14:paraId="608E6AA8" w14:textId="77777777" w:rsidR="009A35ED" w:rsidRDefault="009A35ED" w:rsidP="00730C4E">
      <w:pPr>
        <w:pStyle w:val="Naslov1"/>
        <w:numPr>
          <w:ilvl w:val="0"/>
          <w:numId w:val="0"/>
        </w:numPr>
        <w:ind w:left="567"/>
        <w:rPr>
          <w:lang w:val="en-GB"/>
        </w:rPr>
      </w:pPr>
    </w:p>
    <w:p w14:paraId="529E9ED3" w14:textId="77777777" w:rsidR="009A35ED" w:rsidRDefault="00000000">
      <w:pPr>
        <w:pStyle w:val="Naslov1"/>
        <w:numPr>
          <w:ilvl w:val="0"/>
          <w:numId w:val="2"/>
        </w:numPr>
        <w:rPr>
          <w:lang w:val="en-GB"/>
        </w:rPr>
      </w:pPr>
      <w:bookmarkStart w:id="37" w:name="_Toc42488093"/>
      <w:r>
        <w:rPr>
          <w:lang w:val="en-GB"/>
        </w:rPr>
        <w:t>Cancellation of the tender procedure</w:t>
      </w:r>
      <w:bookmarkEnd w:id="37"/>
    </w:p>
    <w:p w14:paraId="2A3FDECB" w14:textId="77777777" w:rsidR="009A35ED" w:rsidRDefault="00000000">
      <w:pPr>
        <w:pStyle w:val="Tijeloteksta"/>
        <w:ind w:left="567"/>
        <w:jc w:val="both"/>
        <w:rPr>
          <w:rFonts w:ascii="Times New Roman" w:hAnsi="Times New Roman"/>
        </w:rPr>
      </w:pPr>
      <w:r>
        <w:rPr>
          <w:rFonts w:ascii="Times New Roman" w:hAnsi="Times New Roman"/>
          <w:sz w:val="22"/>
        </w:rPr>
        <w:t>If a tender procedure is cancelled, tenderers will be notified by the Contracting authority -Project partner. If the tender procedure is cancelled before the tender opening session the sealed envelopes will be returned, unopened, to the tenderers.</w:t>
      </w:r>
    </w:p>
    <w:p w14:paraId="6F52D8ED" w14:textId="77777777" w:rsidR="009A35ED" w:rsidRDefault="00000000">
      <w:pPr>
        <w:pStyle w:val="Tijeloteksta"/>
        <w:spacing w:after="0"/>
        <w:ind w:left="567"/>
        <w:jc w:val="both"/>
        <w:rPr>
          <w:rFonts w:ascii="Times New Roman" w:hAnsi="Times New Roman"/>
          <w:sz w:val="22"/>
        </w:rPr>
      </w:pPr>
      <w:r>
        <w:rPr>
          <w:rFonts w:ascii="Times New Roman" w:hAnsi="Times New Roman"/>
          <w:sz w:val="22"/>
        </w:rPr>
        <w:t>Cancellation may occur, for example, if:</w:t>
      </w:r>
    </w:p>
    <w:p w14:paraId="5858EB5D" w14:textId="77777777" w:rsidR="009A35ED" w:rsidRDefault="00000000">
      <w:pPr>
        <w:pStyle w:val="Uvuenotijeloteksta"/>
        <w:numPr>
          <w:ilvl w:val="0"/>
          <w:numId w:val="5"/>
        </w:numPr>
        <w:tabs>
          <w:tab w:val="left" w:pos="1134"/>
        </w:tabs>
        <w:spacing w:before="120"/>
        <w:ind w:left="1134"/>
        <w:rPr>
          <w:sz w:val="22"/>
        </w:rPr>
      </w:pPr>
      <w:r>
        <w:rPr>
          <w:sz w:val="22"/>
        </w:rPr>
        <w:t xml:space="preserve">the tender procedure has been unsuccessful, namely where no </w:t>
      </w:r>
      <w:r>
        <w:rPr>
          <w:sz w:val="22"/>
          <w:szCs w:val="22"/>
        </w:rPr>
        <w:t>suitable,</w:t>
      </w:r>
      <w:r>
        <w:rPr>
          <w:sz w:val="22"/>
        </w:rPr>
        <w:t xml:space="preserve"> qualitatively or financially </w:t>
      </w:r>
      <w:r>
        <w:rPr>
          <w:sz w:val="22"/>
          <w:szCs w:val="22"/>
        </w:rPr>
        <w:t>acceptable</w:t>
      </w:r>
      <w:r>
        <w:rPr>
          <w:sz w:val="22"/>
        </w:rPr>
        <w:t xml:space="preserve"> tender has been received or there has been no valid response at </w:t>
      </w:r>
      <w:proofErr w:type="gramStart"/>
      <w:r>
        <w:rPr>
          <w:sz w:val="22"/>
        </w:rPr>
        <w:t>all;</w:t>
      </w:r>
      <w:proofErr w:type="gramEnd"/>
    </w:p>
    <w:p w14:paraId="664A44F2" w14:textId="77777777" w:rsidR="009A35ED" w:rsidRDefault="00000000">
      <w:pPr>
        <w:pStyle w:val="Uvuenotijeloteksta"/>
        <w:numPr>
          <w:ilvl w:val="0"/>
          <w:numId w:val="5"/>
        </w:numPr>
        <w:tabs>
          <w:tab w:val="left" w:pos="1134"/>
        </w:tabs>
        <w:spacing w:before="120"/>
        <w:ind w:left="1134"/>
        <w:rPr>
          <w:sz w:val="22"/>
        </w:rPr>
      </w:pPr>
      <w:r>
        <w:rPr>
          <w:sz w:val="22"/>
        </w:rPr>
        <w:t xml:space="preserve">the economic or technical parameters of the project have changed </w:t>
      </w:r>
      <w:proofErr w:type="gramStart"/>
      <w:r>
        <w:rPr>
          <w:sz w:val="22"/>
        </w:rPr>
        <w:t>fundamentally;</w:t>
      </w:r>
      <w:proofErr w:type="gramEnd"/>
    </w:p>
    <w:p w14:paraId="4A43E2E9" w14:textId="77777777" w:rsidR="009A35ED" w:rsidRDefault="00000000">
      <w:pPr>
        <w:pStyle w:val="Uvuenotijeloteksta"/>
        <w:numPr>
          <w:ilvl w:val="0"/>
          <w:numId w:val="5"/>
        </w:numPr>
        <w:tabs>
          <w:tab w:val="left" w:pos="1134"/>
        </w:tabs>
        <w:spacing w:before="120"/>
        <w:ind w:left="1134"/>
        <w:rPr>
          <w:sz w:val="22"/>
        </w:rPr>
      </w:pPr>
      <w:r>
        <w:rPr>
          <w:sz w:val="22"/>
        </w:rPr>
        <w:t xml:space="preserve">exceptional circumstances or </w:t>
      </w:r>
      <w:r>
        <w:rPr>
          <w:i/>
          <w:sz w:val="22"/>
        </w:rPr>
        <w:t>force majeure</w:t>
      </w:r>
      <w:r>
        <w:rPr>
          <w:sz w:val="22"/>
        </w:rPr>
        <w:t xml:space="preserve"> render normal implementation of the project </w:t>
      </w:r>
      <w:proofErr w:type="gramStart"/>
      <w:r>
        <w:rPr>
          <w:sz w:val="22"/>
        </w:rPr>
        <w:t>impossible;</w:t>
      </w:r>
      <w:proofErr w:type="gramEnd"/>
    </w:p>
    <w:p w14:paraId="2964ED2C" w14:textId="77777777" w:rsidR="009A35ED" w:rsidRDefault="00000000">
      <w:pPr>
        <w:pStyle w:val="Uvuenotijeloteksta"/>
        <w:numPr>
          <w:ilvl w:val="0"/>
          <w:numId w:val="5"/>
        </w:numPr>
        <w:tabs>
          <w:tab w:val="left" w:pos="1134"/>
        </w:tabs>
        <w:spacing w:before="120"/>
        <w:ind w:left="1134"/>
        <w:rPr>
          <w:sz w:val="22"/>
        </w:rPr>
      </w:pPr>
      <w:r>
        <w:rPr>
          <w:sz w:val="22"/>
        </w:rPr>
        <w:t xml:space="preserve">all technically </w:t>
      </w:r>
      <w:r>
        <w:rPr>
          <w:sz w:val="22"/>
          <w:szCs w:val="22"/>
        </w:rPr>
        <w:t>acceptable</w:t>
      </w:r>
      <w:r>
        <w:rPr>
          <w:sz w:val="22"/>
        </w:rPr>
        <w:t xml:space="preserve"> tenders exceed the financial resources </w:t>
      </w:r>
      <w:proofErr w:type="gramStart"/>
      <w:r>
        <w:rPr>
          <w:sz w:val="22"/>
        </w:rPr>
        <w:t>available;</w:t>
      </w:r>
      <w:proofErr w:type="gramEnd"/>
    </w:p>
    <w:p w14:paraId="1FEB7360" w14:textId="77777777" w:rsidR="009A35ED" w:rsidRDefault="00000000">
      <w:pPr>
        <w:pStyle w:val="Uvuenotijeloteksta"/>
        <w:numPr>
          <w:ilvl w:val="0"/>
          <w:numId w:val="5"/>
        </w:numPr>
        <w:tabs>
          <w:tab w:val="left" w:pos="1134"/>
        </w:tabs>
        <w:spacing w:before="120" w:after="120"/>
        <w:ind w:left="1134"/>
        <w:rPr>
          <w:sz w:val="22"/>
        </w:rPr>
      </w:pPr>
      <w:r>
        <w:rPr>
          <w:sz w:val="22"/>
        </w:rPr>
        <w:t xml:space="preserve">there have been </w:t>
      </w:r>
      <w:r>
        <w:rPr>
          <w:sz w:val="22"/>
          <w:szCs w:val="22"/>
        </w:rPr>
        <w:t xml:space="preserve">substantial errors, </w:t>
      </w:r>
      <w:r>
        <w:rPr>
          <w:sz w:val="22"/>
        </w:rPr>
        <w:t xml:space="preserve">irregularities </w:t>
      </w:r>
      <w:r>
        <w:rPr>
          <w:sz w:val="22"/>
          <w:szCs w:val="22"/>
        </w:rPr>
        <w:t xml:space="preserve">or frauds </w:t>
      </w:r>
      <w:r>
        <w:rPr>
          <w:sz w:val="22"/>
        </w:rPr>
        <w:t xml:space="preserve">in the procedure, in particular where these have prevented fair </w:t>
      </w:r>
      <w:proofErr w:type="gramStart"/>
      <w:r>
        <w:rPr>
          <w:sz w:val="22"/>
        </w:rPr>
        <w:t>competition;</w:t>
      </w:r>
      <w:proofErr w:type="gramEnd"/>
    </w:p>
    <w:p w14:paraId="26B5DACE" w14:textId="77777777" w:rsidR="009A35ED" w:rsidRDefault="00000000">
      <w:pPr>
        <w:pStyle w:val="Uvuenotijeloteksta"/>
        <w:numPr>
          <w:ilvl w:val="0"/>
          <w:numId w:val="5"/>
        </w:numPr>
        <w:tabs>
          <w:tab w:val="left" w:pos="1134"/>
        </w:tabs>
        <w:spacing w:before="120" w:after="120"/>
        <w:ind w:left="1134"/>
        <w:rPr>
          <w:sz w:val="22"/>
          <w:szCs w:val="22"/>
        </w:rPr>
      </w:pPr>
      <w:r>
        <w:rPr>
          <w:sz w:val="22"/>
          <w:szCs w:val="22"/>
          <w:lang w:eastAsia="en-GB"/>
        </w:rPr>
        <w:t xml:space="preserve">the award is not in compliance with sound financial management, </w:t>
      </w:r>
      <w:r>
        <w:rPr>
          <w:sz w:val="22"/>
          <w:szCs w:val="22"/>
        </w:rPr>
        <w:t xml:space="preserve">i.e. does not respect the principles of economy, efficiency and effectiveness (e.g. the price proposed by the tenderer to whom the contract is to be awarded is objectively disproportionate </w:t>
      </w:r>
      <w:proofErr w:type="gramStart"/>
      <w:r>
        <w:rPr>
          <w:sz w:val="22"/>
          <w:szCs w:val="22"/>
        </w:rPr>
        <w:t>with regard to</w:t>
      </w:r>
      <w:proofErr w:type="gramEnd"/>
      <w:r>
        <w:rPr>
          <w:sz w:val="22"/>
          <w:szCs w:val="22"/>
        </w:rPr>
        <w:t xml:space="preserve"> the price of the market</w:t>
      </w:r>
      <w:r>
        <w:rPr>
          <w:sz w:val="22"/>
          <w:szCs w:val="22"/>
          <w:lang w:eastAsia="en-GB"/>
        </w:rPr>
        <w:t>.</w:t>
      </w:r>
    </w:p>
    <w:p w14:paraId="2997DBC4" w14:textId="77777777" w:rsidR="009A35ED" w:rsidRDefault="00000000">
      <w:pPr>
        <w:pStyle w:val="Tijeloteksta2"/>
        <w:spacing w:before="120" w:after="120"/>
        <w:ind w:left="567"/>
        <w:rPr>
          <w:b/>
          <w:sz w:val="22"/>
          <w:szCs w:val="22"/>
        </w:rPr>
      </w:pPr>
      <w:r>
        <w:rPr>
          <w:b/>
          <w:sz w:val="22"/>
          <w:szCs w:val="22"/>
        </w:rPr>
        <w:t>In no event will the Project partner be liable for any damages whatsoever including, without limitation, damages for loss of profits, in any way connected with the cancellation of a tender procedure even if the Contracting authority - Project partner has been advised of the possibility of damages. The publication of a contract notice does not commit the Project partner to implement the programme or project announced.</w:t>
      </w:r>
    </w:p>
    <w:p w14:paraId="41D6BA41" w14:textId="77777777" w:rsidR="009A35ED" w:rsidRDefault="00000000">
      <w:pPr>
        <w:pStyle w:val="Naslov1"/>
        <w:numPr>
          <w:ilvl w:val="0"/>
          <w:numId w:val="2"/>
        </w:numPr>
      </w:pPr>
      <w:r>
        <w:t>Appeals</w:t>
      </w:r>
    </w:p>
    <w:p w14:paraId="65B43776" w14:textId="77777777" w:rsidR="009A35ED" w:rsidRDefault="00000000">
      <w:pPr>
        <w:pStyle w:val="Tijeloteksta2"/>
        <w:tabs>
          <w:tab w:val="clear" w:pos="567"/>
        </w:tabs>
        <w:spacing w:after="120"/>
        <w:ind w:left="567"/>
        <w:rPr>
          <w:sz w:val="22"/>
          <w:szCs w:val="22"/>
        </w:rPr>
      </w:pPr>
      <w:r>
        <w:rPr>
          <w:sz w:val="22"/>
          <w:szCs w:val="22"/>
        </w:rPr>
        <w:t>Tenderers believing that they have been harmed by an error or irregularity during the award process may file a complaint. Complaints are sent to the Contracting Authority, at the address set out in point 10.1 of this document.</w:t>
      </w:r>
    </w:p>
    <w:p w14:paraId="4DC0A0A1" w14:textId="77777777" w:rsidR="009A35ED" w:rsidRDefault="00000000">
      <w:pPr>
        <w:pStyle w:val="Naslov1"/>
        <w:numPr>
          <w:ilvl w:val="0"/>
          <w:numId w:val="2"/>
        </w:numPr>
      </w:pPr>
      <w:r>
        <w:t>Data Protection</w:t>
      </w:r>
    </w:p>
    <w:p w14:paraId="71DF1681" w14:textId="77777777" w:rsidR="009A35ED" w:rsidRDefault="00000000">
      <w:pPr>
        <w:pStyle w:val="Tijeloteksta2"/>
        <w:tabs>
          <w:tab w:val="clear" w:pos="567"/>
        </w:tabs>
        <w:spacing w:after="120"/>
        <w:ind w:left="567"/>
        <w:rPr>
          <w:sz w:val="22"/>
          <w:szCs w:val="22"/>
        </w:rPr>
      </w:pPr>
      <w:r>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66F40C9" w14:textId="77777777" w:rsidR="009A35ED" w:rsidRDefault="00000000">
      <w:pPr>
        <w:pStyle w:val="Tijeloteksta2"/>
        <w:tabs>
          <w:tab w:val="clear" w:pos="567"/>
        </w:tabs>
        <w:spacing w:after="120"/>
        <w:ind w:left="567"/>
        <w:rPr>
          <w:sz w:val="22"/>
          <w:szCs w:val="22"/>
        </w:rPr>
      </w:pPr>
      <w:r>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w:t>
      </w:r>
      <w:r>
        <w:rPr>
          <w:sz w:val="22"/>
          <w:szCs w:val="22"/>
        </w:rPr>
        <w:lastRenderedPageBreak/>
        <w:t xml:space="preserve">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4515247A" w14:textId="77777777" w:rsidR="009A35ED" w:rsidRDefault="00000000">
      <w:pPr>
        <w:pStyle w:val="Tijeloteksta2"/>
        <w:ind w:left="567"/>
        <w:rPr>
          <w:sz w:val="22"/>
          <w:szCs w:val="22"/>
        </w:rPr>
      </w:pPr>
      <w:r>
        <w:rPr>
          <w:sz w:val="22"/>
          <w:szCs w:val="22"/>
        </w:rPr>
        <w:t>Details concerning processing of your personal data by the Commission are available on the privacy statement at:</w:t>
      </w:r>
    </w:p>
    <w:p w14:paraId="572544C5" w14:textId="77777777" w:rsidR="009A35ED" w:rsidRDefault="009A35ED">
      <w:pPr>
        <w:pStyle w:val="Tijeloteksta2"/>
        <w:tabs>
          <w:tab w:val="clear" w:pos="567"/>
        </w:tabs>
        <w:spacing w:after="120"/>
        <w:ind w:left="567"/>
        <w:rPr>
          <w:sz w:val="22"/>
          <w:szCs w:val="22"/>
        </w:rPr>
      </w:pPr>
      <w:hyperlink r:id="rId18" w:anchor="Annexes-AnnexesA(Ch.2):General" w:history="1">
        <w:r>
          <w:rPr>
            <w:rStyle w:val="Hiperveza"/>
            <w:sz w:val="22"/>
            <w:szCs w:val="22"/>
          </w:rPr>
          <w:t>https://wikis.ec.europa.eu/display/ExactExternalWiki/Annexes#Annexes-AnnexesA(Ch.2):General</w:t>
        </w:r>
      </w:hyperlink>
      <w:r>
        <w:rPr>
          <w:sz w:val="22"/>
          <w:szCs w:val="22"/>
        </w:rPr>
        <w:t xml:space="preserve"> </w:t>
      </w:r>
    </w:p>
    <w:p w14:paraId="4BCC1B59" w14:textId="77777777" w:rsidR="009A35ED" w:rsidRDefault="009A35ED">
      <w:pPr>
        <w:rPr>
          <w:lang w:val="fr-BE"/>
        </w:rPr>
      </w:pPr>
    </w:p>
    <w:sectPr w:rsidR="009A35ED">
      <w:headerReference w:type="default" r:id="rId19"/>
      <w:type w:val="continuous"/>
      <w:pgSz w:w="11906" w:h="16838"/>
      <w:pgMar w:top="777" w:right="1418" w:bottom="1134" w:left="1134" w:header="72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76C25" w14:textId="77777777" w:rsidR="006F3EA1" w:rsidRDefault="006F3EA1">
      <w:pPr>
        <w:spacing w:before="0" w:after="0"/>
      </w:pPr>
      <w:r>
        <w:separator/>
      </w:r>
    </w:p>
  </w:endnote>
  <w:endnote w:type="continuationSeparator" w:id="0">
    <w:p w14:paraId="568A8075" w14:textId="77777777" w:rsidR="006F3EA1" w:rsidRDefault="006F3E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730B0" w14:textId="77777777" w:rsidR="00757323" w:rsidRDefault="0075732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99A09" w14:textId="77777777" w:rsidR="00757323" w:rsidRDefault="00757323">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5C696" w14:textId="77777777" w:rsidR="00757323" w:rsidRDefault="0075732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2164EA" w14:textId="77777777" w:rsidR="006F3EA1" w:rsidRDefault="006F3EA1">
      <w:pPr>
        <w:rPr>
          <w:sz w:val="12"/>
        </w:rPr>
      </w:pPr>
      <w:r>
        <w:separator/>
      </w:r>
    </w:p>
  </w:footnote>
  <w:footnote w:type="continuationSeparator" w:id="0">
    <w:p w14:paraId="6AEC3F04" w14:textId="77777777" w:rsidR="006F3EA1" w:rsidRDefault="006F3EA1">
      <w:pPr>
        <w:rPr>
          <w:sz w:val="12"/>
        </w:rPr>
      </w:pPr>
      <w:r>
        <w:continuationSeparator/>
      </w:r>
    </w:p>
  </w:footnote>
  <w:footnote w:id="1">
    <w:p w14:paraId="3B988B39" w14:textId="77777777" w:rsidR="009A35ED" w:rsidRDefault="00000000">
      <w:pPr>
        <w:pStyle w:val="Tekstfusnote"/>
        <w:ind w:left="284" w:hanging="284"/>
        <w:rPr>
          <w:rFonts w:ascii="Times New Roman" w:hAnsi="Times New Roman"/>
          <w:lang w:val="en-GB"/>
        </w:rPr>
      </w:pPr>
      <w:r>
        <w:rPr>
          <w:rStyle w:val="FootnoteCharacters"/>
        </w:rPr>
        <w:footnoteRef/>
      </w:r>
      <w:r>
        <w:rPr>
          <w:rFonts w:ascii="Times New Roman" w:hAnsi="Times New Roman"/>
          <w:lang w:val="en-GB"/>
        </w:rPr>
        <w:tab/>
        <w:t xml:space="preserve">     DDP (Delivered Duty Paid) — Incoterms 2020 International Chamber of Commerce </w:t>
      </w:r>
      <w:hyperlink r:id="rId1">
        <w:r w:rsidR="009A35ED">
          <w:rPr>
            <w:rStyle w:val="Hiperveza"/>
            <w:rFonts w:ascii="Times New Roman" w:hAnsi="Times New Roman"/>
          </w:rPr>
          <w:t>https://iccwbo.org/business-solutions/incoterms-rules/incoterms-2020/</w:t>
        </w:r>
      </w:hyperlink>
      <w:r>
        <w:rPr>
          <w:rFonts w:ascii="Times New Roman" w:hAnsi="Times New Roman"/>
        </w:rPr>
        <w:t xml:space="preserve"> </w:t>
      </w:r>
      <w:r>
        <w:rPr>
          <w:rFonts w:ascii="Times New Roman" w:hAnsi="Times New Roman"/>
          <w:lang w:val="en-GB"/>
        </w:rPr>
        <w:t>.</w:t>
      </w:r>
    </w:p>
    <w:p w14:paraId="6621CB44" w14:textId="77777777" w:rsidR="009A35ED" w:rsidRDefault="00000000">
      <w:pPr>
        <w:pStyle w:val="Tekstfusnote"/>
        <w:ind w:left="284" w:hanging="284"/>
        <w:rPr>
          <w:rFonts w:ascii="Times New Roman" w:hAnsi="Times New Roman"/>
          <w:lang w:val="en-GB"/>
        </w:rPr>
      </w:pPr>
      <w:r>
        <w:t xml:space="preserve"> </w:t>
      </w:r>
      <w:r>
        <w:rPr>
          <w:rFonts w:ascii="Times New Roman" w:hAnsi="Times New Roman"/>
          <w:lang w:val="en-GB"/>
        </w:rPr>
        <w:t>.</w:t>
      </w:r>
    </w:p>
  </w:footnote>
  <w:footnote w:id="2">
    <w:p w14:paraId="397FED6F" w14:textId="77777777" w:rsidR="009A35ED" w:rsidRDefault="00000000">
      <w:pPr>
        <w:pStyle w:val="Tekstfusnote"/>
      </w:pPr>
      <w:r>
        <w:rPr>
          <w:rStyle w:val="FootnoteCharacters"/>
        </w:rPr>
        <w:footnoteRef/>
      </w:r>
      <w:r>
        <w:tab/>
        <w:t>Please note that the EU Official Journal contains the official list of entities subject to restrictive measures and, in case of conflict, it prevails over the list of the </w:t>
      </w:r>
      <w:hyperlink r:id="rId2" w:anchor="_blank" w:history="1">
        <w:r w:rsidR="009A35ED">
          <w:rPr>
            <w:rStyle w:val="Hiperveza"/>
            <w:i/>
            <w:iCs/>
            <w:sz w:val="18"/>
            <w:szCs w:val="18"/>
            <w:lang w:val="en-US"/>
          </w:rPr>
          <w:t>EU Sanctions Map</w:t>
        </w:r>
      </w:hyperlink>
      <w:r>
        <w:t>.</w:t>
      </w:r>
    </w:p>
  </w:footnote>
  <w:footnote w:id="3">
    <w:p w14:paraId="7BC48D38" w14:textId="77777777" w:rsidR="009A35ED" w:rsidRDefault="00000000">
      <w:pPr>
        <w:pStyle w:val="Tekstfusnote"/>
      </w:pPr>
      <w:r>
        <w:rPr>
          <w:rStyle w:val="FootnoteCharacters"/>
        </w:rPr>
        <w:footnoteRef/>
      </w:r>
      <w:r>
        <w:tab/>
        <w:t>See PRAG Section 2.4.2.3.(1)</w:t>
      </w:r>
    </w:p>
  </w:footnote>
  <w:footnote w:id="4">
    <w:p w14:paraId="3E6A8BA3" w14:textId="77777777" w:rsidR="009A35ED" w:rsidRDefault="00000000">
      <w:pPr>
        <w:pStyle w:val="Tekstfusnote"/>
        <w:rPr>
          <w:lang w:val="hr-HR"/>
        </w:rPr>
      </w:pPr>
      <w:r>
        <w:rPr>
          <w:rStyle w:val="FootnoteCharacters"/>
        </w:rPr>
        <w:footnoteRef/>
      </w:r>
      <w:r>
        <w:t xml:space="preserve"> </w:t>
      </w:r>
      <w:r>
        <w:rPr>
          <w:rFonts w:ascii="Calibri" w:hAnsi="Calibri" w:cs="Calibri"/>
          <w:sz w:val="18"/>
          <w:szCs w:val="18"/>
          <w:lang w:val="en-GB"/>
        </w:rPr>
        <w:t>The currency of tender shall be the currency of the contract and of payment.</w:t>
      </w:r>
    </w:p>
  </w:footnote>
  <w:footnote w:id="5">
    <w:p w14:paraId="187BD471" w14:textId="77777777" w:rsidR="009A35ED" w:rsidRDefault="00000000">
      <w:pPr>
        <w:pStyle w:val="Tekstfusnote"/>
        <w:ind w:left="142" w:hanging="142"/>
        <w:rPr>
          <w:rFonts w:ascii="Times New Roman" w:hAnsi="Times New Roman"/>
          <w:lang w:val="en-GB"/>
        </w:rPr>
      </w:pPr>
      <w:r>
        <w:rPr>
          <w:rStyle w:val="FootnoteCharacters"/>
        </w:rPr>
        <w:footnoteRef/>
      </w:r>
      <w:r>
        <w:rPr>
          <w:rFonts w:ascii="Times New Roman" w:hAnsi="Times New Roman"/>
          <w:lang w:val="en-GB"/>
        </w:rPr>
        <w:tab/>
        <w:t xml:space="preserve">[DDP (Delivered Duty Paid] — Incoterms 2020 International Chamber of Commerce </w:t>
      </w:r>
      <w:hyperlink r:id="rId3">
        <w:r w:rsidR="009A35ED">
          <w:rPr>
            <w:rStyle w:val="Hiperveza"/>
            <w:color w:val="auto"/>
          </w:rPr>
          <w:t>https://iccwbo.org/business-solutions/incoterms-rules/incoterms-2020/</w:t>
        </w:r>
      </w:hyperlink>
      <w:r>
        <w:t xml:space="preserve"> .</w:t>
      </w:r>
    </w:p>
  </w:footnote>
  <w:footnote w:id="6">
    <w:p w14:paraId="6191BFED" w14:textId="77777777" w:rsidR="009A35ED" w:rsidRDefault="00000000">
      <w:pPr>
        <w:pStyle w:val="Tekstfusnote"/>
        <w:rPr>
          <w:strike/>
        </w:rPr>
      </w:pPr>
      <w:r>
        <w:rPr>
          <w:rStyle w:val="FootnoteCharacters"/>
        </w:rPr>
        <w:footnoteRef/>
      </w:r>
      <w:r>
        <w:tab/>
        <w:t xml:space="preserve">The minutes should comply with the requirements on Data Protection,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4E2EF" w14:textId="77777777" w:rsidR="00757323" w:rsidRDefault="00757323">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602C4" w14:textId="1C3672C5" w:rsidR="009A35ED" w:rsidRDefault="00757323">
    <w:pPr>
      <w:pStyle w:val="Zaglavlje"/>
      <w:rPr>
        <w:b/>
        <w:bCs/>
      </w:rPr>
    </w:pPr>
    <w:r w:rsidRPr="00546EDE">
      <w:rPr>
        <w:b/>
        <w:bCs/>
        <w:noProof/>
        <w:lang w:val="hr-HR"/>
      </w:rPr>
      <w:drawing>
        <wp:inline distT="0" distB="0" distL="0" distR="0" wp14:anchorId="6FDDC309" wp14:editId="29901773">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p w14:paraId="0744D599" w14:textId="77777777" w:rsidR="009A35ED" w:rsidRDefault="009A35ED">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EA9BA" w14:textId="77777777" w:rsidR="00757323" w:rsidRDefault="00757323">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30779" w14:textId="77777777" w:rsidR="009A35ED" w:rsidRDefault="00000000">
    <w:pPr>
      <w:pStyle w:val="Zaglavlje"/>
      <w:rPr>
        <w:b/>
        <w:bCs/>
      </w:rPr>
    </w:pPr>
    <w:r>
      <w:rPr>
        <w:noProof/>
      </w:rPr>
      <w:drawing>
        <wp:inline distT="0" distB="0" distL="0" distR="0" wp14:anchorId="326EE103" wp14:editId="62BB0415">
          <wp:extent cx="2865120" cy="853440"/>
          <wp:effectExtent l="0" t="0" r="0" b="0"/>
          <wp:docPr id="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blue flag with yellow dots&#10;&#10;Description automatically generated"/>
                  <pic:cNvPicPr>
                    <a:picLocks noChangeAspect="1" noChangeArrowheads="1"/>
                  </pic:cNvPicPr>
                </pic:nvPicPr>
                <pic:blipFill>
                  <a:blip r:embed="rId1"/>
                  <a:stretch>
                    <a:fillRect/>
                  </a:stretch>
                </pic:blipFill>
                <pic:spPr bwMode="auto">
                  <a:xfrm>
                    <a:off x="0" y="0"/>
                    <a:ext cx="2865120" cy="853440"/>
                  </a:xfrm>
                  <a:prstGeom prst="rect">
                    <a:avLst/>
                  </a:prstGeom>
                </pic:spPr>
              </pic:pic>
            </a:graphicData>
          </a:graphic>
        </wp:inline>
      </w:drawing>
    </w:r>
  </w:p>
  <w:p w14:paraId="21C28F7D" w14:textId="77777777" w:rsidR="009A35ED" w:rsidRDefault="009A35E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29" style="width:11.9pt;height:11.9pt" coordsize="" o:spt="100" o:bullet="t" adj="0,,0" path="" stroked="f">
        <v:stroke joinstyle="miter"/>
        <v:imagedata r:id="rId1" o:title=""/>
        <v:formulas/>
        <v:path o:connecttype="segments"/>
      </v:shape>
    </w:pict>
  </w:numPicBullet>
  <w:abstractNum w:abstractNumId="0" w15:restartNumberingAfterBreak="0">
    <w:nsid w:val="07BE2C52"/>
    <w:multiLevelType w:val="multilevel"/>
    <w:tmpl w:val="0630CCE4"/>
    <w:lvl w:ilvl="0">
      <w:start w:val="1"/>
      <w:numFmt w:val="decimal"/>
      <w:pStyle w:val="Naslov1"/>
      <w:lvlText w:val="%1."/>
      <w:lvlJc w:val="left"/>
      <w:pPr>
        <w:tabs>
          <w:tab w:val="num" w:pos="567"/>
        </w:tabs>
        <w:ind w:left="567" w:hanging="567"/>
      </w:pPr>
      <w:rPr>
        <w:b/>
        <w:i w:val="0"/>
        <w:sz w:val="28"/>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suff w:val="nothing"/>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 w15:restartNumberingAfterBreak="0">
    <w:nsid w:val="0E0A45A5"/>
    <w:multiLevelType w:val="multilevel"/>
    <w:tmpl w:val="2FF08720"/>
    <w:lvl w:ilvl="0">
      <w:start w:val="1"/>
      <w:numFmt w:val="decimal"/>
      <w:lvlText w:val="%1.1."/>
      <w:lvlJc w:val="left"/>
      <w:pPr>
        <w:tabs>
          <w:tab w:val="num" w:pos="0"/>
        </w:tabs>
        <w:ind w:left="720" w:hanging="360"/>
      </w:pPr>
    </w:lvl>
    <w:lvl w:ilvl="1">
      <w:start w:val="1"/>
      <w:numFmt w:val="decimal"/>
      <w:lvlText w:val="%1.%2."/>
      <w:lvlJc w:val="left"/>
      <w:pPr>
        <w:tabs>
          <w:tab w:val="num" w:pos="567"/>
        </w:tabs>
        <w:ind w:left="567" w:hanging="567"/>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9517960"/>
    <w:multiLevelType w:val="hybridMultilevel"/>
    <w:tmpl w:val="2DCC6930"/>
    <w:lvl w:ilvl="0" w:tplc="AC7467D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D25516A"/>
    <w:multiLevelType w:val="hybridMultilevel"/>
    <w:tmpl w:val="599E63F4"/>
    <w:lvl w:ilvl="0" w:tplc="3AD69F5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31A65C2C"/>
    <w:multiLevelType w:val="multilevel"/>
    <w:tmpl w:val="87347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1AF7801"/>
    <w:multiLevelType w:val="multilevel"/>
    <w:tmpl w:val="3C1679C4"/>
    <w:lvl w:ilvl="0">
      <w:start w:val="1"/>
      <w:numFmt w:val="bullet"/>
      <w:lvlText w:val=""/>
      <w:lvlJc w:val="left"/>
      <w:pPr>
        <w:tabs>
          <w:tab w:val="num" w:pos="1211"/>
        </w:tabs>
        <w:ind w:left="1211" w:hanging="360"/>
      </w:pPr>
      <w:rPr>
        <w:rFonts w:ascii="Symbol" w:hAnsi="Symbol" w:cs="Symbol" w:hint="default"/>
      </w:rPr>
    </w:lvl>
    <w:lvl w:ilvl="1">
      <w:start w:val="1"/>
      <w:numFmt w:val="bullet"/>
      <w:lvlText w:val="o"/>
      <w:lvlJc w:val="left"/>
      <w:pPr>
        <w:tabs>
          <w:tab w:val="num" w:pos="1931"/>
        </w:tabs>
        <w:ind w:left="1931" w:hanging="360"/>
      </w:pPr>
      <w:rPr>
        <w:rFonts w:ascii="Courier New" w:hAnsi="Courier New" w:cs="Courier New" w:hint="default"/>
      </w:rPr>
    </w:lvl>
    <w:lvl w:ilvl="2">
      <w:start w:val="1"/>
      <w:numFmt w:val="bullet"/>
      <w:lvlText w:val=""/>
      <w:lvlJc w:val="left"/>
      <w:pPr>
        <w:tabs>
          <w:tab w:val="num" w:pos="2651"/>
        </w:tabs>
        <w:ind w:left="2651" w:hanging="360"/>
      </w:pPr>
      <w:rPr>
        <w:rFonts w:ascii="Wingdings" w:hAnsi="Wingdings" w:cs="Wingdings" w:hint="default"/>
      </w:rPr>
    </w:lvl>
    <w:lvl w:ilvl="3">
      <w:start w:val="1"/>
      <w:numFmt w:val="bullet"/>
      <w:lvlText w:val=""/>
      <w:lvlJc w:val="left"/>
      <w:pPr>
        <w:tabs>
          <w:tab w:val="num" w:pos="3371"/>
        </w:tabs>
        <w:ind w:left="3371" w:hanging="360"/>
      </w:pPr>
      <w:rPr>
        <w:rFonts w:ascii="Symbol" w:hAnsi="Symbol" w:cs="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cs="Wingdings" w:hint="default"/>
      </w:rPr>
    </w:lvl>
    <w:lvl w:ilvl="6">
      <w:start w:val="1"/>
      <w:numFmt w:val="bullet"/>
      <w:lvlText w:val=""/>
      <w:lvlJc w:val="left"/>
      <w:pPr>
        <w:tabs>
          <w:tab w:val="num" w:pos="5531"/>
        </w:tabs>
        <w:ind w:left="5531" w:hanging="360"/>
      </w:pPr>
      <w:rPr>
        <w:rFonts w:ascii="Symbol" w:hAnsi="Symbol" w:cs="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cs="Wingdings" w:hint="default"/>
      </w:rPr>
    </w:lvl>
  </w:abstractNum>
  <w:abstractNum w:abstractNumId="6" w15:restartNumberingAfterBreak="0">
    <w:nsid w:val="5FDA79A0"/>
    <w:multiLevelType w:val="multilevel"/>
    <w:tmpl w:val="9604B692"/>
    <w:lvl w:ilvl="0">
      <w:start w:val="1"/>
      <w:numFmt w:val="bullet"/>
      <w:lvlText w:val=""/>
      <w:lvlJc w:val="left"/>
      <w:pPr>
        <w:tabs>
          <w:tab w:val="num" w:pos="0"/>
        </w:tabs>
        <w:ind w:left="1287" w:hanging="360"/>
      </w:pPr>
      <w:rPr>
        <w:rFonts w:ascii="Symbol" w:hAnsi="Symbol" w:cs="Symbol" w:hint="default"/>
      </w:rPr>
    </w:lvl>
    <w:lvl w:ilvl="1">
      <w:start w:val="3"/>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15:restartNumberingAfterBreak="0">
    <w:nsid w:val="600609AF"/>
    <w:multiLevelType w:val="multilevel"/>
    <w:tmpl w:val="041A001F"/>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48E2F55"/>
    <w:multiLevelType w:val="multilevel"/>
    <w:tmpl w:val="28C0A6B8"/>
    <w:lvl w:ilvl="0">
      <w:start w:val="1"/>
      <w:numFmt w:val="decimal"/>
      <w:lvlText w:val="%1."/>
      <w:lvlJc w:val="left"/>
      <w:pPr>
        <w:tabs>
          <w:tab w:val="num" w:pos="567"/>
        </w:tabs>
        <w:ind w:left="567" w:hanging="567"/>
      </w:pPr>
      <w:rPr>
        <w:b/>
        <w:i w:val="0"/>
        <w:sz w:val="28"/>
        <w:szCs w:val="24"/>
      </w:rPr>
    </w:lvl>
    <w:lvl w:ilvl="1">
      <w:start w:val="1"/>
      <w:numFmt w:val="decimal"/>
      <w:lvlText w:val="%1.%2"/>
      <w:lvlJc w:val="left"/>
      <w:pPr>
        <w:tabs>
          <w:tab w:val="num" w:pos="567"/>
        </w:tabs>
        <w:ind w:left="567" w:hanging="567"/>
      </w:pPr>
      <w:rPr>
        <w:b w:val="0"/>
        <w:i w:val="0"/>
        <w:sz w:val="20"/>
      </w:rPr>
    </w:lvl>
    <w:lvl w:ilvl="2">
      <w:start w:val="1"/>
      <w:numFmt w:val="lowerLetter"/>
      <w:lvlText w:val="%3)"/>
      <w:lvlJc w:val="left"/>
      <w:pPr>
        <w:tabs>
          <w:tab w:val="num" w:pos="1134"/>
        </w:tabs>
        <w:ind w:left="1134" w:hanging="567"/>
      </w:pPr>
      <w:rPr>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suff w:val="nothing"/>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937665509">
    <w:abstractNumId w:val="0"/>
  </w:num>
  <w:num w:numId="2" w16cid:durableId="186674940">
    <w:abstractNumId w:val="8"/>
  </w:num>
  <w:num w:numId="3" w16cid:durableId="1123039563">
    <w:abstractNumId w:val="7"/>
  </w:num>
  <w:num w:numId="4" w16cid:durableId="1303733558">
    <w:abstractNumId w:val="5"/>
  </w:num>
  <w:num w:numId="5" w16cid:durableId="772551896">
    <w:abstractNumId w:val="6"/>
  </w:num>
  <w:num w:numId="6" w16cid:durableId="1080828083">
    <w:abstractNumId w:val="1"/>
  </w:num>
  <w:num w:numId="7" w16cid:durableId="407725673">
    <w:abstractNumId w:val="4"/>
  </w:num>
  <w:num w:numId="8" w16cid:durableId="817067648">
    <w:abstractNumId w:val="2"/>
  </w:num>
  <w:num w:numId="9" w16cid:durableId="9840412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embedSystemFonts/>
  <w:proofState w:spelling="clean" w:grammar="clean"/>
  <w:trackRevisions/>
  <w:defaultTabStop w:val="720"/>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5ED"/>
    <w:rsid w:val="00013A30"/>
    <w:rsid w:val="00025C22"/>
    <w:rsid w:val="000D0DE0"/>
    <w:rsid w:val="000D1CD8"/>
    <w:rsid w:val="00154177"/>
    <w:rsid w:val="001561D5"/>
    <w:rsid w:val="00172883"/>
    <w:rsid w:val="001D586C"/>
    <w:rsid w:val="001E5E82"/>
    <w:rsid w:val="001F5300"/>
    <w:rsid w:val="002C3E9B"/>
    <w:rsid w:val="002C49F4"/>
    <w:rsid w:val="002F57A4"/>
    <w:rsid w:val="003F6B93"/>
    <w:rsid w:val="00425707"/>
    <w:rsid w:val="005553F4"/>
    <w:rsid w:val="005C3A26"/>
    <w:rsid w:val="00630172"/>
    <w:rsid w:val="0065108B"/>
    <w:rsid w:val="006F3EA1"/>
    <w:rsid w:val="00730C4E"/>
    <w:rsid w:val="00757323"/>
    <w:rsid w:val="007648F7"/>
    <w:rsid w:val="007841D1"/>
    <w:rsid w:val="007C4302"/>
    <w:rsid w:val="008238A9"/>
    <w:rsid w:val="008A518C"/>
    <w:rsid w:val="008C03EE"/>
    <w:rsid w:val="009A35ED"/>
    <w:rsid w:val="00A32246"/>
    <w:rsid w:val="00AD2A25"/>
    <w:rsid w:val="00B9380D"/>
    <w:rsid w:val="00BC28D8"/>
    <w:rsid w:val="00D47BA7"/>
    <w:rsid w:val="00DB69B9"/>
    <w:rsid w:val="00F352A0"/>
    <w:rsid w:val="00FB1A3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AC600"/>
  <w15:docId w15:val="{158FCB75-7FB9-4FA4-BAFB-50F1A092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lang w:val="en-GB"/>
    </w:rPr>
  </w:style>
  <w:style w:type="paragraph" w:styleId="Naslov1">
    <w:name w:val="heading 1"/>
    <w:basedOn w:val="Normal"/>
    <w:next w:val="Normal"/>
    <w:link w:val="Naslov1Char"/>
    <w:autoRedefine/>
    <w:qFormat/>
    <w:rsid w:val="00E700D5"/>
    <w:pPr>
      <w:keepNext/>
      <w:numPr>
        <w:numId w:val="1"/>
      </w:numPr>
      <w:spacing w:before="240" w:after="240"/>
      <w:outlineLvl w:val="0"/>
    </w:pPr>
    <w:rPr>
      <w:rFonts w:ascii="Times New Roman" w:hAnsi="Times New Roman"/>
      <w:b/>
      <w:sz w:val="28"/>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outlineLvl w:val="2"/>
    </w:pPr>
  </w:style>
  <w:style w:type="paragraph" w:styleId="Naslov4">
    <w:name w:val="heading 4"/>
    <w:basedOn w:val="Normal"/>
    <w:next w:val="Normal"/>
    <w:link w:val="Naslov4Char"/>
    <w:qFormat/>
    <w:pPr>
      <w:keepNext/>
      <w:numPr>
        <w:ilvl w:val="3"/>
        <w:numId w:val="1"/>
      </w:numPr>
      <w:spacing w:before="240" w:after="60"/>
      <w:outlineLvl w:val="3"/>
    </w:pPr>
    <w:rPr>
      <w:b/>
      <w:sz w:val="24"/>
    </w:rPr>
  </w:style>
  <w:style w:type="paragraph" w:styleId="Naslov5">
    <w:name w:val="heading 5"/>
    <w:basedOn w:val="Normal"/>
    <w:next w:val="Normal"/>
    <w:link w:val="Naslov5Char"/>
    <w:qFormat/>
    <w:pPr>
      <w:numPr>
        <w:ilvl w:val="4"/>
        <w:numId w:val="1"/>
      </w:numPr>
      <w:spacing w:before="240" w:after="60"/>
      <w:outlineLvl w:val="4"/>
    </w:pPr>
    <w:rPr>
      <w:sz w:val="22"/>
    </w:rPr>
  </w:style>
  <w:style w:type="paragraph" w:styleId="Naslov6">
    <w:name w:val="heading 6"/>
    <w:basedOn w:val="Normal"/>
    <w:next w:val="Normal"/>
    <w:link w:val="Naslov6Char"/>
    <w:qFormat/>
    <w:pPr>
      <w:numPr>
        <w:ilvl w:val="5"/>
        <w:numId w:val="1"/>
      </w:numPr>
      <w:tabs>
        <w:tab w:val="left"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1"/>
      </w:numPr>
      <w:spacing w:before="240" w:after="60"/>
      <w:outlineLvl w:val="6"/>
    </w:pPr>
  </w:style>
  <w:style w:type="paragraph" w:styleId="Naslov8">
    <w:name w:val="heading 8"/>
    <w:basedOn w:val="Normal"/>
    <w:next w:val="Normal"/>
    <w:link w:val="Naslov8Char"/>
    <w:qFormat/>
    <w:pPr>
      <w:numPr>
        <w:ilvl w:val="7"/>
        <w:numId w:val="1"/>
      </w:numPr>
      <w:spacing w:before="240" w:after="60"/>
      <w:outlineLvl w:val="7"/>
    </w:pPr>
    <w:rPr>
      <w:i/>
    </w:rPr>
  </w:style>
  <w:style w:type="paragraph" w:styleId="Naslov9">
    <w:name w:val="heading 9"/>
    <w:basedOn w:val="Normal"/>
    <w:next w:val="Normal"/>
    <w:link w:val="Naslov9Char"/>
    <w:qFormat/>
    <w:pPr>
      <w:numPr>
        <w:ilvl w:val="8"/>
        <w:numId w:val="1"/>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Brojstranice">
    <w:name w:val="page number"/>
    <w:basedOn w:val="Zadanifontodlomka"/>
    <w:qFormat/>
  </w:style>
  <w:style w:type="character" w:styleId="Hiperveza">
    <w:name w:val="Hyperlink"/>
    <w:rPr>
      <w:color w:val="0000FF"/>
      <w:u w:val="single"/>
    </w:rPr>
  </w:style>
  <w:style w:type="character" w:customStyle="1" w:styleId="FootnoteCharacters">
    <w:name w:val="Footnote Characters"/>
    <w:link w:val="CharCharChar"/>
    <w:qFormat/>
    <w:rPr>
      <w:vertAlign w:val="superscript"/>
    </w:rPr>
  </w:style>
  <w:style w:type="character" w:customStyle="1" w:styleId="FootnoteAnchor">
    <w:name w:val="Footnote Anchor"/>
    <w:rPr>
      <w:vertAlign w:val="superscript"/>
    </w:rPr>
  </w:style>
  <w:style w:type="character" w:styleId="Naglaeno">
    <w:name w:val="Strong"/>
    <w:qFormat/>
    <w:rPr>
      <w:b/>
    </w:rPr>
  </w:style>
  <w:style w:type="character" w:styleId="SlijeenaHiperveza">
    <w:name w:val="FollowedHyperlink"/>
    <w:rPr>
      <w:color w:val="800080"/>
      <w:u w:val="single"/>
    </w:rPr>
  </w:style>
  <w:style w:type="character" w:customStyle="1" w:styleId="Naslov2Char">
    <w:name w:val="Naslov 2 Char"/>
    <w:link w:val="Naslov2"/>
    <w:semiHidden/>
    <w:qFormat/>
    <w:locked/>
    <w:rsid w:val="0047783A"/>
    <w:rPr>
      <w:rFonts w:ascii="Arial" w:hAnsi="Arial"/>
      <w:lang w:val="fr-BE" w:eastAsia="en-US" w:bidi="ar-SA"/>
    </w:rPr>
  </w:style>
  <w:style w:type="character" w:customStyle="1" w:styleId="Naslov1Char">
    <w:name w:val="Naslov 1 Char"/>
    <w:link w:val="Naslov1"/>
    <w:qFormat/>
    <w:rsid w:val="00E700D5"/>
    <w:rPr>
      <w:b/>
      <w:sz w:val="28"/>
      <w:lang w:val="fr-BE"/>
    </w:rPr>
  </w:style>
  <w:style w:type="character" w:customStyle="1" w:styleId="Heading1Char">
    <w:name w:val="Heading 1 Char"/>
    <w:qFormat/>
    <w:locked/>
    <w:rsid w:val="0047783A"/>
    <w:rPr>
      <w:b/>
      <w:sz w:val="24"/>
      <w:szCs w:val="24"/>
      <w:lang w:val="en-GB" w:eastAsia="en-US" w:bidi="ar-SA"/>
    </w:rPr>
  </w:style>
  <w:style w:type="character" w:customStyle="1" w:styleId="Naslov3Char">
    <w:name w:val="Naslov 3 Char"/>
    <w:link w:val="Naslov3"/>
    <w:semiHidden/>
    <w:qFormat/>
    <w:locked/>
    <w:rsid w:val="0047783A"/>
    <w:rPr>
      <w:rFonts w:ascii="Arial" w:hAnsi="Arial"/>
      <w:lang w:val="en-GB" w:eastAsia="en-US" w:bidi="ar-SA"/>
    </w:rPr>
  </w:style>
  <w:style w:type="character" w:customStyle="1" w:styleId="Naslov4Char">
    <w:name w:val="Naslov 4 Char"/>
    <w:link w:val="Naslov4"/>
    <w:semiHidden/>
    <w:qFormat/>
    <w:locked/>
    <w:rsid w:val="0047783A"/>
    <w:rPr>
      <w:rFonts w:ascii="Arial" w:hAnsi="Arial"/>
      <w:b/>
      <w:sz w:val="24"/>
      <w:lang w:val="sv-SE" w:eastAsia="en-US" w:bidi="ar-SA"/>
    </w:rPr>
  </w:style>
  <w:style w:type="character" w:customStyle="1" w:styleId="Naslov5Char">
    <w:name w:val="Naslov 5 Char"/>
    <w:link w:val="Naslov5"/>
    <w:semiHidden/>
    <w:qFormat/>
    <w:locked/>
    <w:rsid w:val="0047783A"/>
    <w:rPr>
      <w:rFonts w:ascii="Arial" w:hAnsi="Arial"/>
      <w:sz w:val="22"/>
      <w:lang w:val="sv-SE" w:eastAsia="en-US" w:bidi="ar-SA"/>
    </w:rPr>
  </w:style>
  <w:style w:type="character" w:customStyle="1" w:styleId="Naslov6Char">
    <w:name w:val="Naslov 6 Char"/>
    <w:link w:val="Naslov6"/>
    <w:semiHidden/>
    <w:qFormat/>
    <w:locked/>
    <w:rsid w:val="0047783A"/>
    <w:rPr>
      <w:rFonts w:ascii="Arial" w:hAnsi="Arial"/>
      <w:i/>
      <w:sz w:val="22"/>
      <w:lang w:val="sv-SE" w:eastAsia="en-US" w:bidi="ar-SA"/>
    </w:rPr>
  </w:style>
  <w:style w:type="character" w:customStyle="1" w:styleId="Naslov7Char">
    <w:name w:val="Naslov 7 Char"/>
    <w:link w:val="Naslov7"/>
    <w:semiHidden/>
    <w:qFormat/>
    <w:locked/>
    <w:rsid w:val="0047783A"/>
    <w:rPr>
      <w:rFonts w:ascii="Arial" w:hAnsi="Arial"/>
      <w:lang w:val="sv-SE" w:eastAsia="en-US" w:bidi="ar-SA"/>
    </w:rPr>
  </w:style>
  <w:style w:type="character" w:customStyle="1" w:styleId="Naslov8Char">
    <w:name w:val="Naslov 8 Char"/>
    <w:link w:val="Naslov8"/>
    <w:semiHidden/>
    <w:qFormat/>
    <w:locked/>
    <w:rsid w:val="0047783A"/>
    <w:rPr>
      <w:rFonts w:ascii="Arial" w:hAnsi="Arial"/>
      <w:i/>
      <w:lang w:val="sv-SE" w:eastAsia="en-US" w:bidi="ar-SA"/>
    </w:rPr>
  </w:style>
  <w:style w:type="character" w:customStyle="1" w:styleId="Naslov9Char">
    <w:name w:val="Naslov 9 Char"/>
    <w:link w:val="Naslov9"/>
    <w:semiHidden/>
    <w:qFormat/>
    <w:locked/>
    <w:rsid w:val="0047783A"/>
    <w:rPr>
      <w:rFonts w:ascii="Arial" w:hAnsi="Arial"/>
      <w:b/>
      <w:i/>
      <w:sz w:val="18"/>
      <w:lang w:val="sv-SE" w:eastAsia="en-US" w:bidi="ar-SA"/>
    </w:rPr>
  </w:style>
  <w:style w:type="character" w:customStyle="1" w:styleId="NaslovChar">
    <w:name w:val="Naslov Char"/>
    <w:link w:val="Naslov"/>
    <w:qFormat/>
    <w:locked/>
    <w:rsid w:val="0047783A"/>
    <w:rPr>
      <w:rFonts w:ascii="Arial" w:hAnsi="Arial"/>
      <w:b/>
      <w:sz w:val="28"/>
      <w:lang w:val="fr-BE" w:eastAsia="en-US" w:bidi="ar-SA"/>
    </w:rPr>
  </w:style>
  <w:style w:type="character" w:customStyle="1" w:styleId="PodnaslovChar">
    <w:name w:val="Podnaslov Char"/>
    <w:link w:val="Podnaslov"/>
    <w:qFormat/>
    <w:locked/>
    <w:rsid w:val="0047783A"/>
    <w:rPr>
      <w:rFonts w:ascii="Arial" w:hAnsi="Arial"/>
      <w:b/>
      <w:sz w:val="28"/>
      <w:lang w:val="fr-BE" w:eastAsia="en-US" w:bidi="ar-SA"/>
    </w:rPr>
  </w:style>
  <w:style w:type="character" w:customStyle="1" w:styleId="UvuenotijelotekstaChar">
    <w:name w:val="Uvučeno tijelo teksta Char"/>
    <w:link w:val="Uvuenotijeloteksta"/>
    <w:semiHidden/>
    <w:qFormat/>
    <w:locked/>
    <w:rsid w:val="0047783A"/>
    <w:rPr>
      <w:sz w:val="24"/>
      <w:lang w:val="sv-SE" w:eastAsia="en-US" w:bidi="ar-SA"/>
    </w:rPr>
  </w:style>
  <w:style w:type="character" w:customStyle="1" w:styleId="TijelotekstaChar">
    <w:name w:val="Tijelo teksta Char"/>
    <w:link w:val="Tijeloteksta"/>
    <w:semiHidden/>
    <w:qFormat/>
    <w:locked/>
    <w:rsid w:val="0047783A"/>
    <w:rPr>
      <w:rFonts w:ascii="Arial" w:hAnsi="Arial"/>
      <w:lang w:val="sv-SE" w:eastAsia="en-US" w:bidi="ar-SA"/>
    </w:rPr>
  </w:style>
  <w:style w:type="character" w:customStyle="1" w:styleId="Tijeloteksta-uvlaka2Char">
    <w:name w:val="Tijelo teksta - uvlaka 2 Char"/>
    <w:semiHidden/>
    <w:qFormat/>
    <w:locked/>
    <w:rsid w:val="0047783A"/>
    <w:rPr>
      <w:rFonts w:ascii="Arial" w:hAnsi="Arial"/>
      <w:sz w:val="24"/>
      <w:u w:val="single"/>
      <w:lang w:val="sv-SE" w:eastAsia="en-US" w:bidi="ar-SA"/>
    </w:rPr>
  </w:style>
  <w:style w:type="character" w:customStyle="1" w:styleId="Tijeloteksta-uvlaka3Char">
    <w:name w:val="Tijelo teksta - uvlaka 3 Char"/>
    <w:semiHidden/>
    <w:qFormat/>
    <w:locked/>
    <w:rsid w:val="0047783A"/>
    <w:rPr>
      <w:rFonts w:ascii="Arial" w:hAnsi="Arial"/>
      <w:sz w:val="24"/>
      <w:lang w:val="sv-SE" w:eastAsia="en-US" w:bidi="ar-SA"/>
    </w:rPr>
  </w:style>
  <w:style w:type="character" w:customStyle="1" w:styleId="ZaglavljeChar">
    <w:name w:val="Zaglavlje Char"/>
    <w:link w:val="Zaglavlje"/>
    <w:semiHidden/>
    <w:qFormat/>
    <w:locked/>
    <w:rsid w:val="0047783A"/>
    <w:rPr>
      <w:rFonts w:ascii="Arial" w:hAnsi="Arial"/>
      <w:lang w:val="sv-SE" w:eastAsia="en-US" w:bidi="ar-SA"/>
    </w:rPr>
  </w:style>
  <w:style w:type="character" w:customStyle="1" w:styleId="PodnojeChar">
    <w:name w:val="Podnožje Char"/>
    <w:link w:val="Podnoje"/>
    <w:semiHidden/>
    <w:qFormat/>
    <w:locked/>
    <w:rsid w:val="0047783A"/>
    <w:rPr>
      <w:rFonts w:ascii="Arial" w:hAnsi="Arial"/>
      <w:lang w:val="sv-SE" w:eastAsia="en-US" w:bidi="ar-SA"/>
    </w:rPr>
  </w:style>
  <w:style w:type="character" w:customStyle="1" w:styleId="Tijeloteksta3Char">
    <w:name w:val="Tijelo teksta 3 Char"/>
    <w:link w:val="Tijeloteksta3"/>
    <w:semiHidden/>
    <w:qFormat/>
    <w:locked/>
    <w:rsid w:val="0047783A"/>
    <w:rPr>
      <w:rFonts w:ascii="Arial" w:hAnsi="Arial"/>
      <w:b/>
      <w:sz w:val="24"/>
      <w:lang w:val="en-GB" w:eastAsia="en-US" w:bidi="ar-SA"/>
    </w:rPr>
  </w:style>
  <w:style w:type="character" w:customStyle="1" w:styleId="TekstfusnoteChar">
    <w:name w:val="Tekst fusnote Char"/>
    <w:link w:val="Tekstfusnote"/>
    <w:uiPriority w:val="99"/>
    <w:qFormat/>
    <w:locked/>
    <w:rsid w:val="0047783A"/>
    <w:rPr>
      <w:rFonts w:ascii="Arial" w:hAnsi="Arial"/>
      <w:lang w:val="fr-FR" w:eastAsia="en-US" w:bidi="ar-SA"/>
    </w:rPr>
  </w:style>
  <w:style w:type="character" w:customStyle="1" w:styleId="KartadokumentaChar">
    <w:name w:val="Karta dokumenta Char"/>
    <w:link w:val="Kartadokumenta"/>
    <w:semiHidden/>
    <w:qFormat/>
    <w:locked/>
    <w:rsid w:val="0047783A"/>
    <w:rPr>
      <w:rFonts w:ascii="Arial" w:hAnsi="Arial"/>
      <w:sz w:val="24"/>
      <w:lang w:val="fr-FR" w:eastAsia="en-US" w:bidi="ar-SA"/>
    </w:rPr>
  </w:style>
  <w:style w:type="character" w:customStyle="1" w:styleId="Tijeloteksta2Char">
    <w:name w:val="Tijelo teksta 2 Char"/>
    <w:link w:val="Tijeloteksta2"/>
    <w:semiHidden/>
    <w:qFormat/>
    <w:locked/>
    <w:rsid w:val="0047783A"/>
    <w:rPr>
      <w:sz w:val="24"/>
      <w:lang w:val="sv-SE" w:eastAsia="en-GB" w:bidi="ar-SA"/>
    </w:rPr>
  </w:style>
  <w:style w:type="character" w:customStyle="1" w:styleId="EndnoteCharacters">
    <w:name w:val="Endnote Characters"/>
    <w:semiHidden/>
    <w:qFormat/>
    <w:rsid w:val="0047783A"/>
    <w:rPr>
      <w:vertAlign w:val="superscript"/>
    </w:rPr>
  </w:style>
  <w:style w:type="character" w:customStyle="1" w:styleId="EndnoteAnchor">
    <w:name w:val="Endnote Anchor"/>
    <w:rPr>
      <w:vertAlign w:val="superscript"/>
    </w:rPr>
  </w:style>
  <w:style w:type="character" w:customStyle="1" w:styleId="Style11pt">
    <w:name w:val="Style 11 pt"/>
    <w:qFormat/>
    <w:rsid w:val="0047783A"/>
    <w:rPr>
      <w:sz w:val="22"/>
    </w:rPr>
  </w:style>
  <w:style w:type="character" w:styleId="Referencakomentara">
    <w:name w:val="annotation reference"/>
    <w:qFormat/>
    <w:rsid w:val="00EE23B1"/>
    <w:rPr>
      <w:sz w:val="16"/>
      <w:szCs w:val="16"/>
    </w:rPr>
  </w:style>
  <w:style w:type="character" w:customStyle="1" w:styleId="TekstkomentaraChar">
    <w:name w:val="Tekst komentara Char"/>
    <w:link w:val="Tekstkomentara"/>
    <w:qFormat/>
    <w:rsid w:val="00DA4D57"/>
    <w:rPr>
      <w:rFonts w:ascii="Arial" w:hAnsi="Arial"/>
      <w:lang w:eastAsia="en-US"/>
    </w:rPr>
  </w:style>
  <w:style w:type="character" w:styleId="Istaknuto">
    <w:name w:val="Emphasis"/>
    <w:qFormat/>
    <w:rsid w:val="00452496"/>
    <w:rPr>
      <w:i/>
    </w:rPr>
  </w:style>
  <w:style w:type="character" w:customStyle="1" w:styleId="UnresolvedMention1">
    <w:name w:val="Unresolved Mention1"/>
    <w:uiPriority w:val="99"/>
    <w:semiHidden/>
    <w:unhideWhenUsed/>
    <w:qFormat/>
    <w:rsid w:val="007816DB"/>
    <w:rPr>
      <w:color w:val="808080"/>
      <w:shd w:val="clear" w:color="auto" w:fill="E6E6E6"/>
    </w:rPr>
  </w:style>
  <w:style w:type="character" w:styleId="Nerijeenospominjanje">
    <w:name w:val="Unresolved Mention"/>
    <w:basedOn w:val="Zadanifontodlomka"/>
    <w:uiPriority w:val="99"/>
    <w:semiHidden/>
    <w:unhideWhenUsed/>
    <w:qFormat/>
    <w:rsid w:val="00C412EA"/>
    <w:rPr>
      <w:color w:val="605E5C"/>
      <w:shd w:val="clear" w:color="auto" w:fill="E1DFDD"/>
    </w:rPr>
  </w:style>
  <w:style w:type="paragraph" w:customStyle="1" w:styleId="Heading">
    <w:name w:val="Heading"/>
    <w:basedOn w:val="Normal"/>
    <w:next w:val="Tijeloteksta"/>
    <w:qFormat/>
    <w:pPr>
      <w:keepNext/>
      <w:spacing w:before="240"/>
    </w:pPr>
    <w:rPr>
      <w:rFonts w:ascii="Liberation Sans" w:eastAsia="Noto Sans CJK SC" w:hAnsi="Liberation Sans" w:cs="Lohit Devanagari"/>
      <w:sz w:val="28"/>
      <w:szCs w:val="28"/>
    </w:rPr>
  </w:style>
  <w:style w:type="paragraph" w:styleId="Tijeloteksta">
    <w:name w:val="Body Text"/>
    <w:basedOn w:val="Normal"/>
    <w:link w:val="TijelotekstaChar"/>
  </w:style>
  <w:style w:type="paragraph" w:styleId="Popis">
    <w:name w:val="List"/>
    <w:basedOn w:val="Tijeloteksta"/>
    <w:rPr>
      <w:rFonts w:cs="Lohit Devanagari"/>
    </w:rPr>
  </w:style>
  <w:style w:type="paragraph" w:styleId="Opisslike">
    <w:name w:val="caption"/>
    <w:basedOn w:val="Normal"/>
    <w:qFormat/>
    <w:pPr>
      <w:suppressLineNumbers/>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left" w:pos="567"/>
      </w:tabs>
      <w:spacing w:before="0" w:after="0"/>
      <w:jc w:val="both"/>
    </w:pPr>
    <w:rPr>
      <w:rFonts w:ascii="Times New Roman" w:hAnsi="Times New Roman"/>
      <w:sz w:val="24"/>
    </w:rPr>
  </w:style>
  <w:style w:type="paragraph" w:styleId="Tijeloteksta-uvlaka2">
    <w:name w:val="Body Text Indent 2"/>
    <w:basedOn w:val="Normal"/>
    <w:qFormat/>
    <w:pPr>
      <w:tabs>
        <w:tab w:val="left" w:pos="567"/>
        <w:tab w:val="left" w:pos="2160"/>
      </w:tabs>
      <w:spacing w:after="240"/>
      <w:ind w:left="567" w:hanging="567"/>
      <w:jc w:val="both"/>
    </w:pPr>
    <w:rPr>
      <w:sz w:val="24"/>
      <w:u w:val="single"/>
    </w:rPr>
  </w:style>
  <w:style w:type="paragraph" w:styleId="Tijeloteksta-uvlaka3">
    <w:name w:val="Body Text Indent 3"/>
    <w:basedOn w:val="Normal"/>
    <w:qFormat/>
    <w:pPr>
      <w:tabs>
        <w:tab w:val="left" w:pos="1276"/>
      </w:tabs>
      <w:ind w:left="1276" w:hanging="425"/>
      <w:jc w:val="both"/>
    </w:pPr>
    <w:rPr>
      <w:sz w:val="24"/>
    </w:rPr>
  </w:style>
  <w:style w:type="paragraph" w:customStyle="1" w:styleId="Text3">
    <w:name w:val="Text 3"/>
    <w:basedOn w:val="Normal"/>
    <w:qFormat/>
    <w:pPr>
      <w:tabs>
        <w:tab w:val="left" w:pos="2302"/>
      </w:tabs>
      <w:spacing w:after="240"/>
      <w:ind w:left="1202"/>
      <w:jc w:val="both"/>
    </w:pPr>
    <w:rPr>
      <w:sz w:val="24"/>
    </w:rPr>
  </w:style>
  <w:style w:type="paragraph" w:customStyle="1" w:styleId="HeaderandFooter">
    <w:name w:val="Header and Footer"/>
    <w:basedOn w:val="Normal"/>
    <w:qFormat/>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paragraph" w:styleId="Tijeloteksta3">
    <w:name w:val="Body Text 3"/>
    <w:basedOn w:val="Normal"/>
    <w:link w:val="Tijeloteksta3Char"/>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rPr>
  </w:style>
  <w:style w:type="paragraph" w:styleId="Tekstfusnote">
    <w:name w:val="footnote text"/>
    <w:basedOn w:val="Normal"/>
    <w:link w:val="TekstfusnoteChar"/>
    <w:uiPriority w:val="99"/>
    <w:qFormat/>
    <w:rPr>
      <w:lang w:val="fr-FR"/>
    </w:rPr>
  </w:style>
  <w:style w:type="paragraph" w:styleId="Kartadokumenta">
    <w:name w:val="Document Map"/>
    <w:basedOn w:val="Normal"/>
    <w:link w:val="KartadokumentaChar"/>
    <w:semiHidden/>
    <w:qFormat/>
    <w:pPr>
      <w:shd w:val="clear" w:color="auto" w:fill="000080"/>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qFormat/>
    <w:pPr>
      <w:spacing w:after="240"/>
      <w:jc w:val="center"/>
    </w:pPr>
    <w:rPr>
      <w:b/>
      <w:sz w:val="40"/>
    </w:rPr>
  </w:style>
  <w:style w:type="paragraph" w:customStyle="1" w:styleId="SubTitle2">
    <w:name w:val="SubTitle 2"/>
    <w:basedOn w:val="Normal"/>
    <w:qFormat/>
    <w:pPr>
      <w:spacing w:after="240"/>
      <w:jc w:val="center"/>
    </w:pPr>
    <w:rPr>
      <w:b/>
      <w:sz w:val="32"/>
    </w:rPr>
  </w:style>
  <w:style w:type="paragraph" w:customStyle="1" w:styleId="Annexetitle">
    <w:name w:val="Annexe_title"/>
    <w:basedOn w:val="Naslov1"/>
    <w:next w:val="Normal"/>
    <w:autoRedefine/>
    <w:qFormat/>
    <w:pPr>
      <w:keepNext w:val="0"/>
      <w:pageBreakBefore/>
      <w:numPr>
        <w:numId w:val="0"/>
      </w:numPr>
      <w:tabs>
        <w:tab w:val="left" w:pos="567"/>
        <w:tab w:val="left" w:pos="2552"/>
        <w:tab w:val="left" w:pos="7938"/>
        <w:tab w:val="left" w:pos="9072"/>
      </w:tabs>
      <w:spacing w:before="0" w:after="0"/>
    </w:pPr>
    <w:rPr>
      <w:caps/>
      <w:lang w:val="en-GB"/>
    </w:rPr>
  </w:style>
  <w:style w:type="paragraph" w:customStyle="1" w:styleId="Style1">
    <w:name w:val="Style1"/>
    <w:basedOn w:val="Normal"/>
    <w:qFormat/>
    <w:pPr>
      <w:keepNext/>
      <w:widowControl w:val="0"/>
      <w:tabs>
        <w:tab w:val="left" w:pos="992"/>
      </w:tabs>
      <w:ind w:left="992" w:hanging="992"/>
    </w:pPr>
    <w:rPr>
      <w:b/>
      <w:sz w:val="18"/>
      <w:lang w:val="fr-FR"/>
    </w:rPr>
  </w:style>
  <w:style w:type="paragraph" w:customStyle="1" w:styleId="titlefront">
    <w:name w:val="title_front"/>
    <w:basedOn w:val="Normal"/>
    <w:qFormat/>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Sadraj2">
    <w:name w:val="toc 2"/>
    <w:basedOn w:val="Normal"/>
    <w:next w:val="Normal"/>
    <w:autoRedefine/>
    <w:semiHidden/>
    <w:pPr>
      <w:spacing w:before="0" w:after="0"/>
      <w:ind w:left="200"/>
    </w:pPr>
    <w:rPr>
      <w:rFonts w:ascii="Times New Roman" w:hAnsi="Times New Roman"/>
      <w:smallCaps/>
    </w:rPr>
  </w:style>
  <w:style w:type="paragraph" w:customStyle="1" w:styleId="Blockquote">
    <w:name w:val="Blockquote"/>
    <w:basedOn w:val="Normal"/>
    <w:qFormat/>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paragraph" w:customStyle="1" w:styleId="Style2">
    <w:name w:val="Style2"/>
    <w:basedOn w:val="Style1"/>
    <w:qFormat/>
    <w:pPr>
      <w:tabs>
        <w:tab w:val="clear" w:pos="992"/>
        <w:tab w:val="left" w:pos="2091"/>
      </w:tabs>
      <w:ind w:left="2977"/>
      <w:jc w:val="both"/>
    </w:pPr>
  </w:style>
  <w:style w:type="paragraph" w:customStyle="1" w:styleId="text">
    <w:name w:val="text"/>
    <w:qFormat/>
    <w:pPr>
      <w:widowControl w:val="0"/>
      <w:spacing w:before="240" w:line="240" w:lineRule="exact"/>
      <w:jc w:val="both"/>
    </w:pPr>
    <w:rPr>
      <w:rFonts w:ascii="Arial" w:hAnsi="Arial"/>
      <w:sz w:val="24"/>
      <w:lang w:val="cs-CZ"/>
    </w:rPr>
  </w:style>
  <w:style w:type="paragraph" w:customStyle="1" w:styleId="Section">
    <w:name w:val="Section"/>
    <w:basedOn w:val="Normal"/>
    <w:qFormat/>
    <w:pPr>
      <w:widowControl w:val="0"/>
      <w:spacing w:before="0" w:after="0" w:line="360" w:lineRule="exact"/>
      <w:jc w:val="center"/>
    </w:pPr>
    <w:rPr>
      <w:b/>
      <w:sz w:val="32"/>
      <w:lang w:val="cs-CZ"/>
    </w:rPr>
  </w:style>
  <w:style w:type="paragraph" w:customStyle="1" w:styleId="ManualNumPar1">
    <w:name w:val="Manual NumPar 1"/>
    <w:basedOn w:val="Normal"/>
    <w:next w:val="Normal"/>
    <w:qFormat/>
    <w:pPr>
      <w:ind w:left="851" w:hanging="851"/>
      <w:jc w:val="both"/>
    </w:pPr>
    <w:rPr>
      <w:rFonts w:ascii="Times New Roman" w:hAnsi="Times New Roman"/>
      <w:sz w:val="24"/>
      <w:lang w:val="fr-FR"/>
    </w:rPr>
  </w:style>
  <w:style w:type="paragraph" w:styleId="Tijeloteksta2">
    <w:name w:val="Body Text 2"/>
    <w:basedOn w:val="Normal"/>
    <w:link w:val="Tijeloteksta2Char"/>
    <w:qFormat/>
    <w:rsid w:val="00AE7D13"/>
    <w:pPr>
      <w:tabs>
        <w:tab w:val="left" w:pos="567"/>
      </w:tabs>
      <w:spacing w:before="0" w:after="0"/>
      <w:jc w:val="both"/>
    </w:pPr>
    <w:rPr>
      <w:rFonts w:ascii="Times New Roman" w:hAnsi="Times New Roman"/>
      <w:sz w:val="24"/>
      <w:lang w:eastAsia="en-GB"/>
    </w:rPr>
  </w:style>
  <w:style w:type="paragraph" w:customStyle="1" w:styleId="oddl-nadpis">
    <w:name w:val="oddíl-nadpis"/>
    <w:basedOn w:val="Normal"/>
    <w:qFormat/>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qFormat/>
    <w:rsid w:val="00DE13B8"/>
    <w:rPr>
      <w:rFonts w:ascii="Tahoma" w:hAnsi="Tahoma" w:cs="Tahoma"/>
      <w:sz w:val="16"/>
      <w:szCs w:val="16"/>
    </w:rPr>
  </w:style>
  <w:style w:type="paragraph" w:customStyle="1" w:styleId="StyleHeading1TimesNewRoman14ptItalic">
    <w:name w:val="Style Heading 1 + Times New Roman 14 pt Italic"/>
    <w:basedOn w:val="Naslov1"/>
    <w:autoRedefine/>
    <w:qFormat/>
    <w:rsid w:val="00A4424B"/>
    <w:pPr>
      <w:numPr>
        <w:numId w:val="0"/>
      </w:numPr>
      <w:spacing w:before="120" w:after="120"/>
    </w:pPr>
    <w:rPr>
      <w:bCs/>
      <w:iCs/>
      <w:sz w:val="24"/>
      <w:szCs w:val="24"/>
    </w:rPr>
  </w:style>
  <w:style w:type="paragraph" w:customStyle="1" w:styleId="StyleHeading3">
    <w:name w:val="Style Heading 3"/>
    <w:basedOn w:val="Normal"/>
    <w:qFormat/>
    <w:rsid w:val="0047783A"/>
    <w:pPr>
      <w:tabs>
        <w:tab w:val="left" w:pos="567"/>
      </w:tabs>
      <w:ind w:left="1134" w:hanging="567"/>
    </w:pPr>
  </w:style>
  <w:style w:type="paragraph" w:customStyle="1" w:styleId="Style11ptBlackJustifiedRight001cmBefore865ptL">
    <w:name w:val="Style 11 pt Black Justified Right:  001 cm Before:  865 pt L..."/>
    <w:basedOn w:val="Normal"/>
    <w:next w:val="Normal"/>
    <w:autoRedefine/>
    <w:qFormat/>
    <w:rsid w:val="0047783A"/>
    <w:pPr>
      <w:shd w:val="clear" w:color="auto" w:fill="FFFFFF"/>
      <w:tabs>
        <w:tab w:val="right" w:pos="1701"/>
      </w:tabs>
      <w:spacing w:before="60" w:line="212" w:lineRule="exact"/>
      <w:ind w:right="6"/>
      <w:jc w:val="both"/>
    </w:pPr>
    <w:rPr>
      <w:rFonts w:ascii="Times New Roman" w:hAnsi="Times New Roman"/>
      <w:color w:val="000000"/>
      <w:sz w:val="22"/>
      <w:lang w:eastAsia="en-GB"/>
    </w:rPr>
  </w:style>
  <w:style w:type="paragraph" w:styleId="Tekstkrajnjebiljeke">
    <w:name w:val="endnote text"/>
    <w:basedOn w:val="Normal"/>
    <w:semiHidden/>
    <w:rsid w:val="0047783A"/>
  </w:style>
  <w:style w:type="paragraph" w:customStyle="1" w:styleId="NormalInd1">
    <w:name w:val="Normal Ind 1"/>
    <w:basedOn w:val="Normal"/>
    <w:qFormat/>
    <w:rsid w:val="0047783A"/>
    <w:pPr>
      <w:tabs>
        <w:tab w:val="left" w:pos="2268"/>
      </w:tabs>
      <w:spacing w:before="0" w:after="0"/>
      <w:ind w:left="567"/>
      <w:textAlignment w:val="baseline"/>
    </w:pPr>
    <w:rPr>
      <w:rFonts w:ascii="Times New Roman" w:hAnsi="Times New Roman"/>
      <w:bCs/>
      <w:sz w:val="22"/>
      <w:szCs w:val="22"/>
      <w:lang w:val="fr-FR"/>
    </w:rPr>
  </w:style>
  <w:style w:type="paragraph" w:customStyle="1" w:styleId="Char2">
    <w:name w:val="Char2"/>
    <w:basedOn w:val="Normal"/>
    <w:qFormat/>
    <w:rsid w:val="0047783A"/>
    <w:pPr>
      <w:spacing w:before="0" w:after="160" w:line="240" w:lineRule="exact"/>
    </w:pPr>
    <w:rPr>
      <w:rFonts w:ascii="Tahoma" w:hAnsi="Tahoma"/>
      <w:lang w:val="en-US"/>
    </w:rPr>
  </w:style>
  <w:style w:type="paragraph" w:styleId="Tekstkomentara">
    <w:name w:val="annotation text"/>
    <w:basedOn w:val="Normal"/>
    <w:link w:val="TekstkomentaraChar"/>
    <w:qFormat/>
    <w:rsid w:val="00EE23B1"/>
  </w:style>
  <w:style w:type="paragraph" w:styleId="Predmetkomentara">
    <w:name w:val="annotation subject"/>
    <w:basedOn w:val="Tekstkomentara"/>
    <w:next w:val="Tekstkomentara"/>
    <w:semiHidden/>
    <w:qFormat/>
    <w:rsid w:val="00EE23B1"/>
    <w:rPr>
      <w:b/>
      <w:bCs/>
    </w:rPr>
  </w:style>
  <w:style w:type="paragraph" w:styleId="Odlomakpopisa">
    <w:name w:val="List Paragraph"/>
    <w:basedOn w:val="Normal"/>
    <w:uiPriority w:val="34"/>
    <w:qFormat/>
    <w:rsid w:val="009A538A"/>
    <w:pPr>
      <w:spacing w:before="0" w:after="0"/>
      <w:ind w:left="720"/>
    </w:pPr>
    <w:rPr>
      <w:rFonts w:ascii="Calibri" w:eastAsia="Calibri" w:hAnsi="Calibri"/>
      <w:sz w:val="22"/>
      <w:szCs w:val="22"/>
    </w:rPr>
  </w:style>
  <w:style w:type="paragraph" w:customStyle="1" w:styleId="PRAGHeading2">
    <w:name w:val="PRAG Heading 2"/>
    <w:basedOn w:val="Normal"/>
    <w:qFormat/>
    <w:rsid w:val="00123EDC"/>
    <w:pPr>
      <w:widowControl w:val="0"/>
      <w:spacing w:before="100" w:after="100"/>
    </w:pPr>
    <w:rPr>
      <w:rFonts w:ascii="Times New Roman" w:hAnsi="Times New Roman"/>
      <w:sz w:val="24"/>
      <w:lang w:val="fr-FR"/>
    </w:rPr>
  </w:style>
  <w:style w:type="paragraph" w:customStyle="1" w:styleId="Text1">
    <w:name w:val="Text 1"/>
    <w:basedOn w:val="Normal"/>
    <w:qFormat/>
    <w:rsid w:val="002156A5"/>
    <w:pPr>
      <w:ind w:left="850"/>
      <w:jc w:val="both"/>
    </w:pPr>
    <w:rPr>
      <w:rFonts w:ascii="Times New Roman" w:eastAsia="Calibri" w:hAnsi="Times New Roman"/>
      <w:sz w:val="24"/>
      <w:szCs w:val="22"/>
    </w:rPr>
  </w:style>
  <w:style w:type="paragraph" w:customStyle="1" w:styleId="Text2">
    <w:name w:val="Text 2"/>
    <w:basedOn w:val="Normal"/>
    <w:qFormat/>
    <w:rsid w:val="002156A5"/>
    <w:pPr>
      <w:ind w:left="1417"/>
      <w:jc w:val="both"/>
    </w:pPr>
    <w:rPr>
      <w:rFonts w:ascii="Times New Roman" w:eastAsia="Calibri" w:hAnsi="Times New Roman"/>
      <w:sz w:val="24"/>
      <w:szCs w:val="22"/>
    </w:rPr>
  </w:style>
  <w:style w:type="paragraph" w:customStyle="1" w:styleId="doc-ti">
    <w:name w:val="doc-ti"/>
    <w:basedOn w:val="Normal"/>
    <w:qFormat/>
    <w:rsid w:val="007816DB"/>
    <w:pPr>
      <w:spacing w:beforeAutospacing="1" w:afterAutospacing="1"/>
    </w:pPr>
    <w:rPr>
      <w:rFonts w:ascii="Times New Roman" w:hAnsi="Times New Roman"/>
      <w:sz w:val="24"/>
      <w:szCs w:val="24"/>
      <w:lang w:val="hr-HR" w:eastAsia="hr-HR"/>
    </w:rPr>
  </w:style>
  <w:style w:type="paragraph" w:customStyle="1" w:styleId="Default">
    <w:name w:val="Default"/>
    <w:qFormat/>
    <w:rsid w:val="0056387A"/>
    <w:rPr>
      <w:rFonts w:ascii="Arial" w:eastAsia="Calibri" w:hAnsi="Arial" w:cs="Arial"/>
      <w:color w:val="000000"/>
      <w:sz w:val="24"/>
      <w:szCs w:val="24"/>
      <w:lang w:val="hr-HR"/>
    </w:rPr>
  </w:style>
  <w:style w:type="paragraph" w:styleId="Revizija">
    <w:name w:val="Revision"/>
    <w:uiPriority w:val="99"/>
    <w:semiHidden/>
    <w:qFormat/>
    <w:rsid w:val="009808CE"/>
    <w:rPr>
      <w:rFonts w:ascii="Arial" w:hAnsi="Arial"/>
      <w:lang w:val="en-GB"/>
    </w:rPr>
  </w:style>
  <w:style w:type="paragraph" w:customStyle="1" w:styleId="CharCharChar">
    <w:name w:val="Char Char Char"/>
    <w:basedOn w:val="Normal"/>
    <w:link w:val="FootnoteCharacters"/>
    <w:qFormat/>
    <w:rsid w:val="00951828"/>
    <w:pPr>
      <w:spacing w:before="0" w:after="0" w:line="240" w:lineRule="exact"/>
    </w:pPr>
    <w:rPr>
      <w:rFonts w:ascii="Times New Roman" w:hAnsi="Times New Roman"/>
      <w:vertAlign w:val="superscript"/>
      <w:lang w:val="en-US"/>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3.xml"/><Relationship Id="rId18" Type="http://schemas.openxmlformats.org/officeDocument/2006/relationships/hyperlink" Target="https://wikis.ec.europa.eu/display/ExactExternalWiki/Annexe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uredzaprojekte@skbm.ba" TargetMode="External"/><Relationship Id="rId2" Type="http://schemas.openxmlformats.org/officeDocument/2006/relationships/numbering" Target="numbering.xml"/><Relationship Id="rId16" Type="http://schemas.openxmlformats.org/officeDocument/2006/relationships/hyperlink" Target="mailto:medicinskafizika@skbm.b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kbm.ba/"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iccwbo.org/business-solutions/incoterms-rules/incoterms-2020/" TargetMode="External"/><Relationship Id="rId2" Type="http://schemas.openxmlformats.org/officeDocument/2006/relationships/hyperlink" Target="https://www.sanctionsmap.eu/" TargetMode="External"/><Relationship Id="rId1" Type="http://schemas.openxmlformats.org/officeDocument/2006/relationships/hyperlink" Target="https://iccwbo.org/business-solutions/incoterms-rules/incoterm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4772D-FEFC-4861-9219-2F7A12ABF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5823</Words>
  <Characters>33194</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dc:description/>
  <cp:lastModifiedBy>Korisnik</cp:lastModifiedBy>
  <cp:revision>2</cp:revision>
  <cp:lastPrinted>2015-12-04T10:44:00Z</cp:lastPrinted>
  <dcterms:created xsi:type="dcterms:W3CDTF">2025-11-11T07:59:00Z</dcterms:created>
  <dcterms:modified xsi:type="dcterms:W3CDTF">2025-11-11T07:59:00Z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duboile</vt:lpwstr>
  </property>
  <property fmtid="{D5CDD505-2E9C-101B-9397-08002B2CF9AE}" pid="4" name="Company">
    <vt:lpwstr>European Commission</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